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5.4.1 Proportion of time spent on unpaid domestic chores and care work [5.4.1] (SL_DOM_TSPD)</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68125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pPr>
            <w: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pPr>
            <w:r>
              <w:t>Target 5.4: Recognize and value unpaid care and domestic work through the provision of public services, infrastructure and social protection policies and the promotion of shared responsibility within the household and the family as nationally appropriate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5.4.1: Proportion of time spent on unpaid domestic and care work, by sex, age and location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rPr>
                <w:lang w:val="en-US"/>
              </w:rPr>
              <w:t>UN Statistics Division (UNSD) and UN WOMEN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5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30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b/>
                <w:bCs/>
                <w:lang w:val="en-CA"/>
              </w:rPr>
            </w:pPr>
            <w:r>
              <w:rPr>
                <w:b/>
                <w:bCs/>
                <w:lang w:val="en-CA"/>
              </w:rPr>
              <w:t>Definition:</w:t>
            </w:r>
          </w:p>
          <w:p>
            <w:pPr>
              <w:jc w:val="both"/>
              <w:rPr>
                <w:lang w:val="en-CA"/>
              </w:rPr>
            </w:pPr>
            <w:r>
              <w:rPr>
                <w:lang w:val="en-CA"/>
              </w:rPr>
              <w:t xml:space="preserve">This indicator is defined as the proportion of time spent in a day on unpaid domestic and care work by men and women. Unpaid domestic and care work refers to activities related to the provision of services for own final use by household members, or by family members living in other households. These activities are listed in </w:t>
            </w:r>
            <w:r>
              <w:rPr>
                <w:lang w:val="en-CA"/>
              </w:rPr>
              <w:fldChar w:fldCharType="begin"/>
            </w:r>
            <w:r>
              <w:rPr>
                <w:lang w:val="en-CA"/>
              </w:rPr>
              <w:instrText xml:space="preserve"> HYPERLINK "https://unstats.un.org/unsd/gender/timeuse/23012019%20ICATUS.pdf" </w:instrText>
            </w:r>
            <w:r>
              <w:rPr>
                <w:lang w:val="en-CA"/>
              </w:rPr>
              <w:fldChar w:fldCharType="separate"/>
            </w:r>
            <w:r>
              <w:rPr>
                <w:rStyle w:val="18"/>
                <w:lang w:val="en-CA"/>
              </w:rPr>
              <w:t>ICATUS 2016</w:t>
            </w:r>
            <w:r>
              <w:rPr>
                <w:lang w:val="en-CA"/>
              </w:rPr>
              <w:fldChar w:fldCharType="end"/>
            </w:r>
            <w:r>
              <w:rPr>
                <w:lang w:val="en-CA"/>
              </w:rPr>
              <w:t xml:space="preserve"> under the major divisions “3. Unpaid domestic services for household and family members” and “4. Unpaid care-giving services for household and family members”.</w:t>
            </w:r>
          </w:p>
          <w:p>
            <w:pPr>
              <w:jc w:val="both"/>
              <w:rPr>
                <w:b/>
                <w:bCs/>
                <w:lang w:val="en-CA"/>
              </w:rPr>
            </w:pPr>
            <w:r>
              <w:rPr>
                <w:b/>
                <w:bCs/>
                <w:lang w:val="en-CA"/>
              </w:rPr>
              <w:t>Concepts:</w:t>
            </w:r>
          </w:p>
          <w:p>
            <w:pPr>
              <w:jc w:val="both"/>
              <w:rPr>
                <w:lang w:val="en-CA"/>
              </w:rPr>
            </w:pPr>
            <w:r>
              <w:rPr>
                <w:lang w:val="en-CA"/>
              </w:rPr>
              <w:t>Unpaid domestic and care work refers to activities including food preparation, dish washing, cleaning and upkeep of the dwelling, laundry, ironing, gardening, caring for pets, shopping, installation, servicing and repair of personal and household goods, childcare, and care of the sick, elderly or disabled household and family members, among others.</w:t>
            </w:r>
          </w:p>
          <w:p>
            <w:pPr>
              <w:jc w:val="both"/>
              <w:rPr>
                <w:lang w:val="en-CA"/>
              </w:rPr>
            </w:pPr>
            <w:r>
              <w:rPr>
                <w:lang w:val="en-CA"/>
              </w:rPr>
              <w:t>An activity is said to be productive or to fall within the “general production boundary” if it satisfies the third-person criterion (the activity can be delegated to another person and yield the same desired results).</w:t>
            </w:r>
          </w:p>
          <w:p>
            <w:pPr>
              <w:jc w:val="both"/>
              <w:rPr>
                <w:b/>
                <w:bCs/>
                <w:lang w:val="en-CA"/>
              </w:rPr>
            </w:pPr>
            <w:r>
              <w:rPr>
                <w:lang w:val="en-CA"/>
              </w:rPr>
              <w:t xml:space="preserve">Indicator 5.4.1 only considers the own-use production work of services, or in other words, the activities related to unpaid domestic services and unpaid care giving services undertaken by households for their own use.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Minutes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color w:val="262626"/>
              </w:rPr>
              <w:t>G</w:t>
            </w:r>
            <w:r>
              <w:rPr>
                <w:rFonts w:cstheme="minorHAnsi"/>
                <w:color w:val="262626"/>
                <w:lang w:val="en-CA"/>
              </w:rPr>
              <w:t xml:space="preserve">hana </w:t>
            </w:r>
            <w:r>
              <w:rPr>
                <w:rFonts w:cstheme="minorHAnsi"/>
                <w:color w:val="262626"/>
              </w:rPr>
              <w:t>L</w:t>
            </w:r>
            <w:r>
              <w:rPr>
                <w:rFonts w:cstheme="minorHAnsi"/>
                <w:color w:val="262626"/>
                <w:lang w:val="en-CA"/>
              </w:rPr>
              <w:t xml:space="preserve">iving </w:t>
            </w:r>
            <w:r>
              <w:rPr>
                <w:rFonts w:cstheme="minorHAnsi"/>
                <w:color w:val="262626"/>
              </w:rPr>
              <w:t>S</w:t>
            </w:r>
            <w:r>
              <w:rPr>
                <w:rFonts w:cstheme="minorHAnsi"/>
                <w:color w:val="262626"/>
                <w:lang w:val="en-CA"/>
              </w:rPr>
              <w:t xml:space="preserve">tandards </w:t>
            </w:r>
            <w:r>
              <w:rPr>
                <w:rFonts w:cstheme="minorHAnsi"/>
                <w:color w:val="262626"/>
              </w:rPr>
              <w:t>S</w:t>
            </w:r>
            <w:r>
              <w:rPr>
                <w:rFonts w:cstheme="minorHAnsi"/>
                <w:color w:val="262626"/>
                <w:lang w:val="en-CA"/>
              </w:rPr>
              <w:t xml:space="preserve">urvey </w:t>
            </w:r>
            <w:r>
              <w:rPr>
                <w:rFonts w:hint="default" w:cstheme="minorHAnsi"/>
                <w:color w:val="262626"/>
                <w:lang w:val="en-CA"/>
              </w:rPr>
              <w:t xml:space="preserve">(GLSS) Round </w:t>
            </w:r>
            <w:r>
              <w:rPr>
                <w:rFonts w:cstheme="minorHAnsi"/>
                <w:color w:val="262626"/>
              </w:rPr>
              <w:t>6</w:t>
            </w:r>
            <w:r>
              <w:rPr>
                <w:rFonts w:hint="default" w:cstheme="minorHAnsi"/>
                <w:color w:val="262626"/>
                <w:lang w:val="en-CA"/>
              </w:rPr>
              <w:t>,</w:t>
            </w:r>
            <w:r>
              <w:rPr>
                <w:rFonts w:cstheme="minorHAnsi"/>
                <w:color w:val="262626"/>
              </w:rPr>
              <w:t xml:space="preserve"> </w:t>
            </w:r>
            <w:r>
              <w:rPr>
                <w:rFonts w:hint="default" w:cstheme="minorHAnsi"/>
                <w:color w:val="262626"/>
                <w:lang w:val="en-CA"/>
              </w:rPr>
              <w:t xml:space="preserve"> </w:t>
            </w:r>
            <w:r>
              <w:rPr>
                <w:rFonts w:cstheme="minorHAnsi"/>
                <w:color w:val="262626"/>
              </w:rPr>
              <w:t>2012/13</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655612"/>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purpose of the indicator is to measure the amount of time women and men spend doing unpaid work, to ensure that all work, whether paid or unpaid, is valued. In addition, it also provides an assessment of gender equality, by highlighting discrepancies between how much time women and men spend on unpaid work, like cooking, cleaning or taking care of children. This indicator measures the average amount of time as a proportion in a day, so that if</w:t>
            </w:r>
            <w:r>
              <w:rPr>
                <w:rFonts w:hint="default"/>
                <w:lang w:val="en-CA"/>
              </w:rPr>
              <w:t xml:space="preserve"> </w:t>
            </w:r>
            <w:r>
              <w:t xml:space="preserve">it is reported that women aged 15+ spend 10% of their day on unpaid domestic chores while men in the same age group spend 1%, it indicates that women spend 2.4 hours (2 hours and 24 minutes), while men spend 14.4 minutes on it a day, on average.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ascii="Roboto" w:hAnsi="Roboto"/>
                <w:color w:val="333333"/>
                <w:sz w:val="21"/>
                <w:szCs w:val="21"/>
                <w:shd w:val="clear" w:color="auto" w:fill="E0E0E0"/>
              </w:rPr>
            </w:pPr>
            <w:bookmarkStart w:id="38" w:name="_GoBack"/>
            <w:bookmarkEnd w:id="38"/>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7932748"/>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w:t>
            </w:r>
            <w:r>
              <w:t xml:space="preserve"> disaggregate</w:t>
            </w:r>
            <w:r>
              <w:rPr>
                <w:rFonts w:hint="default"/>
                <w:lang w:val="en-CA"/>
              </w:rPr>
              <w:t>d  by sex,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lang w:val="en-CA"/>
              </w:rPr>
            </w:pPr>
            <w:r>
              <w:rPr>
                <w:lang w:val="en-CA"/>
              </w:rPr>
              <w:t xml:space="preserve"> </w:t>
            </w:r>
            <w:r>
              <w:rPr>
                <w:rFonts w:hint="default"/>
                <w:lang w:val="en-CA"/>
              </w:rPr>
              <w:fldChar w:fldCharType="begin"/>
            </w:r>
            <w:r>
              <w:rPr>
                <w:rFonts w:hint="default"/>
                <w:lang w:val="en-CA"/>
              </w:rPr>
              <w:instrText xml:space="preserve"> HYPERLINK "https://unstats.un.org/unsd/nationalaccount/docs/sna2008.pdf" </w:instrText>
            </w:r>
            <w:r>
              <w:rPr>
                <w:rFonts w:hint="default"/>
                <w:lang w:val="en-CA"/>
              </w:rPr>
              <w:fldChar w:fldCharType="separate"/>
            </w:r>
            <w:r>
              <w:rPr>
                <w:rStyle w:val="18"/>
                <w:rFonts w:hint="default"/>
                <w:lang w:val="en-CA"/>
              </w:rPr>
              <w:t>https://unstats.un.org/unsd/nationalaccount/docs/sna2008.pdf</w:t>
            </w:r>
            <w:r>
              <w:rPr>
                <w:rFonts w:hint="default"/>
                <w:lang w:val="en-CA"/>
              </w:rPr>
              <w:fldChar w:fldCharType="end"/>
            </w:r>
            <w:r>
              <w:rPr>
                <w:lang w:val="en-CA"/>
              </w:rPr>
              <w:t xml:space="preserve"> </w:t>
            </w:r>
          </w:p>
          <w:p>
            <w:pPr>
              <w:rPr>
                <w:rFonts w:hint="default"/>
                <w:lang w:val="en-CA"/>
              </w:rPr>
            </w:pPr>
            <w:r>
              <w:rPr>
                <w:rFonts w:hint="default"/>
                <w:lang w:val="en-CA"/>
              </w:rPr>
              <w:fldChar w:fldCharType="begin"/>
            </w:r>
            <w:r>
              <w:rPr>
                <w:rFonts w:hint="default"/>
                <w:lang w:val="en-CA"/>
              </w:rPr>
              <w:instrText xml:space="preserve"> HYPERLINK "https://www.ilo.org/wcmsp5/groups/public/---dgreports/---stat/documents/publication/wcms_220535.pdf" </w:instrText>
            </w:r>
            <w:r>
              <w:rPr>
                <w:rFonts w:hint="default"/>
                <w:lang w:val="en-CA"/>
              </w:rPr>
              <w:fldChar w:fldCharType="separate"/>
            </w:r>
            <w:r>
              <w:rPr>
                <w:rStyle w:val="18"/>
                <w:rFonts w:hint="default"/>
                <w:lang w:val="en-CA"/>
              </w:rPr>
              <w:t>https://www.ilo.org/wcmsp5/groups/public/---dgreports/---stat/documents/publication/wcms_220535.pdf</w:t>
            </w:r>
            <w:r>
              <w:rPr>
                <w:rFonts w:hint="default"/>
                <w:lang w:val="en-CA"/>
              </w:rPr>
              <w:fldChar w:fldCharType="end"/>
            </w:r>
          </w:p>
          <w:p>
            <w:pPr>
              <w:rPr>
                <w:rFonts w:hint="default"/>
                <w:lang w:val="en-CA"/>
              </w:rPr>
            </w:pPr>
            <w:r>
              <w:rPr>
                <w:rFonts w:hint="default"/>
                <w:lang w:val="en-CA"/>
              </w:rPr>
              <w:fldChar w:fldCharType="begin"/>
            </w:r>
            <w:r>
              <w:rPr>
                <w:rFonts w:hint="default"/>
                <w:lang w:val="en-CA"/>
              </w:rPr>
              <w:instrText xml:space="preserve"> HYPERLINK "https://unstats.un.org/unsd/gender/timeuse/23012019%20ICATUS.pdf" </w:instrText>
            </w:r>
            <w:r>
              <w:rPr>
                <w:rFonts w:hint="default"/>
                <w:lang w:val="en-CA"/>
              </w:rPr>
              <w:fldChar w:fldCharType="separate"/>
            </w:r>
            <w:r>
              <w:rPr>
                <w:rStyle w:val="18"/>
                <w:rFonts w:hint="default"/>
                <w:lang w:val="en-CA"/>
              </w:rPr>
              <w:t>https://unstats.un.org/unsd/gender/timeuse/23012019%20ICATUS.pdf</w:t>
            </w:r>
            <w:r>
              <w:rPr>
                <w:rFonts w:hint="default"/>
                <w:lang w:val="en-CA"/>
              </w:rPr>
              <w:fldChar w:fldCharType="end"/>
            </w:r>
          </w:p>
          <w:p>
            <w:pPr>
              <w:rPr>
                <w:rFonts w:hint="default"/>
                <w:lang w:val="en-CA"/>
              </w:rPr>
            </w:pPr>
            <w:r>
              <w:rPr>
                <w:rFonts w:hint="default"/>
                <w:lang w:val="en-CA"/>
              </w:rPr>
              <w:fldChar w:fldCharType="begin"/>
            </w:r>
            <w:r>
              <w:rPr>
                <w:rFonts w:hint="default"/>
                <w:lang w:val="en-CA"/>
              </w:rPr>
              <w:instrText xml:space="preserve"> HYPERLINK "https://ilostat.ilo.org/about/standards/icls/icls-documents/#:~:text=19th%20ICLS%20%2D%202%20to%2011,the%20functioning%20of%20the%20Conference" </w:instrText>
            </w:r>
            <w:r>
              <w:rPr>
                <w:rFonts w:hint="default"/>
                <w:lang w:val="en-CA"/>
              </w:rPr>
              <w:fldChar w:fldCharType="separate"/>
            </w:r>
            <w:r>
              <w:rPr>
                <w:rStyle w:val="18"/>
                <w:rFonts w:hint="default"/>
                <w:lang w:val="en-CA"/>
              </w:rPr>
              <w:t>https://ilostat.ilo.org/about/standards/icls/icls-documents/#:~:text=19th%20ICLS%20%2D%202%20to%2011,the%20functioning%20of%20the%20Conference</w:t>
            </w:r>
            <w:r>
              <w:rPr>
                <w:rFonts w:hint="default"/>
                <w:lang w:val="en-CA"/>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Roboto">
    <w:altName w:val="Segoe Print"/>
    <w:panose1 w:val="00000000000000000000"/>
    <w:charset w:val="00"/>
    <w:family w:val="auto"/>
    <w:pitch w:val="default"/>
    <w:sig w:usb0="00000000" w:usb1="00000000" w:usb2="0000002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4CD9"/>
    <w:rsid w:val="002E449E"/>
    <w:rsid w:val="002E6DA3"/>
    <w:rsid w:val="00316CFE"/>
    <w:rsid w:val="003218D9"/>
    <w:rsid w:val="00325D2B"/>
    <w:rsid w:val="00344199"/>
    <w:rsid w:val="003514F3"/>
    <w:rsid w:val="00352386"/>
    <w:rsid w:val="0035311B"/>
    <w:rsid w:val="00355460"/>
    <w:rsid w:val="00372D21"/>
    <w:rsid w:val="00380958"/>
    <w:rsid w:val="003812B1"/>
    <w:rsid w:val="00394852"/>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366A"/>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3923"/>
    <w:rsid w:val="00772DE4"/>
    <w:rsid w:val="0077584C"/>
    <w:rsid w:val="00776312"/>
    <w:rsid w:val="00791932"/>
    <w:rsid w:val="007A078A"/>
    <w:rsid w:val="007A2617"/>
    <w:rsid w:val="007A28BA"/>
    <w:rsid w:val="007B2E39"/>
    <w:rsid w:val="007B7A97"/>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41B51"/>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7215"/>
    <w:rsid w:val="00B137EE"/>
    <w:rsid w:val="00B13CEC"/>
    <w:rsid w:val="00B26B23"/>
    <w:rsid w:val="00B43C36"/>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E9"/>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539EE"/>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A1A6571"/>
    <w:rsid w:val="45E5047E"/>
    <w:rsid w:val="6B2D034A"/>
    <w:rsid w:val="6F11138E"/>
    <w:rsid w:val="7A62072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96FA0"/>
    <w:rsid w:val="006153AA"/>
    <w:rsid w:val="0064052E"/>
    <w:rsid w:val="006E5030"/>
    <w:rsid w:val="00760A1F"/>
    <w:rsid w:val="00854A70"/>
    <w:rsid w:val="00BD1956"/>
    <w:rsid w:val="00C32C2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216248</Words>
  <Characters>1232617</Characters>
  <Lines>10271</Lines>
  <Paragraphs>2891</Paragraphs>
  <TotalTime>32</TotalTime>
  <ScaleCrop>false</ScaleCrop>
  <LinksUpToDate>false</LinksUpToDate>
  <CharactersWithSpaces>1445974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2021-11-03T11:55:00Z</dcterms:created>
  <dc:creator>Fanning, Stephen B (JMD)</dc:creator>
  <cp:lastModifiedBy>Doreen</cp:lastModifiedBy>
  <cp:lastPrinted>2020-04-16T14:23:00Z</cp:lastPrinted>
  <dcterms:modified xsi:type="dcterms:W3CDTF">2022-11-12T14:50:38Z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998B54C0CEA74E1281BDA6B91292772B</vt:lpwstr>
  </property>
</Properties>
</file>