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10.7.4 Proportion of the population who are refugees, by country of origin [10.7.4] (SM_POP_REFG_OR)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10: Reduce inequality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10.7: Facilitate orderly, safe, regular and responsible migration and mobility of people, including through the implementation of planned and well-managed migration policies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10.7.4: Proportion of the population who are refugees, by country of origin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color w:val="000000"/>
              </w:rPr>
              <w:t>Goals 1 (“No Poverty”), 2 (“Zero Hunger”), 3 (“Good Health and Wellbeing”), 4 (“Quality Education”), 5 (“Gender Equality”), 8 (“Decent Work and Economic Growth”), and 16 (“Peace, Justice and Strong Institutions”).</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United Nations High Commissioner for Refugees (UNHCR)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2572"/>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rPr>
                <w:color w:val="000000"/>
              </w:rPr>
              <w:t>United Nations High Commissioner for Refugees (UNHCR)</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hint="default" w:ascii="Calibri" w:hAnsi="Calibri" w:cs="Calibri"/>
                <w:b/>
                <w:bCs/>
                <w:color w:val="000000"/>
                <w:sz w:val="22"/>
                <w:szCs w:val="22"/>
              </w:rPr>
            </w:pPr>
            <w:r>
              <w:rPr>
                <w:rFonts w:hint="default" w:ascii="Calibri" w:hAnsi="Calibri" w:cs="Calibri"/>
                <w:b/>
                <w:bCs/>
                <w:color w:val="000000"/>
                <w:sz w:val="22"/>
                <w:szCs w:val="22"/>
              </w:rPr>
              <w:t>Definition:</w:t>
            </w:r>
          </w:p>
          <w:p>
            <w:pPr>
              <w:pStyle w:val="19"/>
              <w:rPr>
                <w:rFonts w:hint="default" w:ascii="Calibri" w:hAnsi="Calibri" w:cs="Calibri"/>
                <w:color w:val="000000"/>
                <w:sz w:val="22"/>
                <w:szCs w:val="22"/>
              </w:rPr>
            </w:pPr>
            <w:r>
              <w:rPr>
                <w:rFonts w:hint="default" w:ascii="Calibri" w:hAnsi="Calibri" w:cs="Calibri"/>
                <w:color w:val="000000"/>
                <w:sz w:val="22"/>
                <w:szCs w:val="22"/>
              </w:rPr>
              <w:t>The indicator is defined as the total count of population who have been recognized as refugees as a proportion of the total population of their country of origin, expressed per 100,000 population.</w:t>
            </w:r>
          </w:p>
          <w:p>
            <w:pPr>
              <w:pStyle w:val="19"/>
              <w:rPr>
                <w:rFonts w:hint="default" w:ascii="Calibri" w:hAnsi="Calibri" w:cs="Calibri"/>
                <w:color w:val="000000"/>
                <w:sz w:val="22"/>
                <w:szCs w:val="22"/>
              </w:rPr>
            </w:pPr>
            <w:r>
              <w:rPr>
                <w:rFonts w:hint="default" w:ascii="Calibri" w:hAnsi="Calibri" w:cs="Calibri"/>
                <w:color w:val="000000"/>
                <w:sz w:val="22"/>
                <w:szCs w:val="22"/>
              </w:rPr>
              <w:t>Refugees refers to persons recognized by the Government and/or UNHCR, or those in a refugee-like situation.</w:t>
            </w:r>
          </w:p>
          <w:p>
            <w:pPr>
              <w:pStyle w:val="19"/>
              <w:rPr>
                <w:rFonts w:hint="default" w:ascii="Calibri" w:hAnsi="Calibri" w:cs="Calibri"/>
                <w:color w:val="000000"/>
                <w:sz w:val="22"/>
                <w:szCs w:val="22"/>
              </w:rPr>
            </w:pPr>
            <w:r>
              <w:rPr>
                <w:rFonts w:hint="default" w:ascii="Calibri" w:hAnsi="Calibri" w:cs="Calibri"/>
                <w:color w:val="000000"/>
                <w:sz w:val="22"/>
                <w:szCs w:val="22"/>
              </w:rPr>
              <w:t>Population refers to total resident population in a given country in a given year.</w:t>
            </w:r>
          </w:p>
          <w:p>
            <w:pPr>
              <w:pStyle w:val="19"/>
              <w:rPr>
                <w:rFonts w:hint="default" w:ascii="Calibri" w:hAnsi="Calibri" w:cs="Calibri"/>
                <w:b/>
                <w:bCs/>
                <w:color w:val="000000"/>
                <w:sz w:val="22"/>
                <w:szCs w:val="22"/>
              </w:rPr>
            </w:pPr>
            <w:r>
              <w:rPr>
                <w:rFonts w:hint="default" w:ascii="Calibri" w:hAnsi="Calibri" w:cs="Calibri"/>
                <w:b/>
                <w:bCs/>
                <w:color w:val="000000"/>
                <w:sz w:val="22"/>
                <w:szCs w:val="22"/>
              </w:rPr>
              <w:t>Concepts:</w:t>
            </w:r>
          </w:p>
          <w:p>
            <w:pPr>
              <w:pStyle w:val="19"/>
              <w:rPr>
                <w:rFonts w:hint="default" w:ascii="Calibri" w:hAnsi="Calibri" w:cs="Calibri"/>
                <w:color w:val="000000"/>
                <w:sz w:val="22"/>
                <w:szCs w:val="22"/>
              </w:rPr>
            </w:pPr>
            <w:r>
              <w:rPr>
                <w:rFonts w:hint="default" w:ascii="Calibri" w:hAnsi="Calibri" w:cs="Calibri"/>
                <w:color w:val="000000"/>
                <w:sz w:val="22"/>
                <w:szCs w:val="22"/>
              </w:rPr>
              <w:t>Refugees recognized by the Government and/or UNHCR include:</w:t>
            </w:r>
          </w:p>
          <w:p>
            <w:pPr>
              <w:pStyle w:val="19"/>
              <w:rPr>
                <w:rFonts w:hint="default" w:ascii="Calibri" w:hAnsi="Calibri" w:cs="Calibri"/>
                <w:color w:val="000000"/>
                <w:sz w:val="22"/>
                <w:szCs w:val="22"/>
              </w:rPr>
            </w:pPr>
            <w:r>
              <w:rPr>
                <w:rFonts w:hint="default" w:ascii="Calibri" w:hAnsi="Calibri" w:cs="Calibri"/>
                <w:color w:val="000000"/>
                <w:sz w:val="22"/>
                <w:szCs w:val="22"/>
              </w:rPr>
              <w:t>(a) persons recognized as refugees by Governments having ratified the 1951 United Nations Convention Relating to the Status of Refugees, and/or its 1967 Protocol;</w:t>
            </w:r>
          </w:p>
          <w:p>
            <w:pPr>
              <w:pStyle w:val="19"/>
              <w:rPr>
                <w:rFonts w:hint="default" w:ascii="Calibri" w:hAnsi="Calibri" w:cs="Calibri"/>
                <w:color w:val="000000"/>
                <w:sz w:val="22"/>
                <w:szCs w:val="22"/>
              </w:rPr>
            </w:pPr>
            <w:r>
              <w:rPr>
                <w:rFonts w:hint="default" w:ascii="Calibri" w:hAnsi="Calibri" w:cs="Calibri"/>
                <w:color w:val="000000"/>
                <w:sz w:val="22"/>
                <w:szCs w:val="22"/>
              </w:rPr>
              <w:t>(b) persons recognized as refugees under the 1969 Organization of African Unity (OAU) Convention Governing the Specific Aspects of Refugee Problems in Africa;</w:t>
            </w:r>
          </w:p>
          <w:p>
            <w:pPr>
              <w:pStyle w:val="19"/>
              <w:rPr>
                <w:rFonts w:hint="default" w:ascii="Calibri" w:hAnsi="Calibri" w:cs="Calibri"/>
                <w:color w:val="000000"/>
                <w:sz w:val="22"/>
                <w:szCs w:val="22"/>
              </w:rPr>
            </w:pPr>
            <w:r>
              <w:rPr>
                <w:rFonts w:hint="default" w:ascii="Calibri" w:hAnsi="Calibri" w:cs="Calibri"/>
                <w:color w:val="000000"/>
                <w:sz w:val="22"/>
                <w:szCs w:val="22"/>
              </w:rPr>
              <w:t>(c) those recognized in accordance with the principles enshrined in the Cartagena Declaration;</w:t>
            </w:r>
          </w:p>
          <w:p>
            <w:pPr>
              <w:pStyle w:val="19"/>
              <w:rPr>
                <w:rFonts w:hint="default" w:ascii="Calibri" w:hAnsi="Calibri" w:cs="Calibri"/>
                <w:color w:val="000000"/>
                <w:sz w:val="22"/>
                <w:szCs w:val="22"/>
              </w:rPr>
            </w:pPr>
            <w:r>
              <w:rPr>
                <w:rFonts w:hint="default" w:ascii="Calibri" w:hAnsi="Calibri" w:cs="Calibri"/>
                <w:color w:val="000000"/>
                <w:sz w:val="22"/>
                <w:szCs w:val="22"/>
              </w:rPr>
              <w:t>(d) persons recognized by UNHCR as refugees in accordance with its Statute (otherwise referred to as “mandate” refugees);</w:t>
            </w:r>
          </w:p>
          <w:p>
            <w:pPr>
              <w:pStyle w:val="19"/>
              <w:rPr>
                <w:rFonts w:hint="default" w:ascii="Calibri" w:hAnsi="Calibri" w:cs="Calibri"/>
                <w:color w:val="000000"/>
                <w:sz w:val="22"/>
                <w:szCs w:val="22"/>
              </w:rPr>
            </w:pPr>
            <w:r>
              <w:rPr>
                <w:rFonts w:hint="default" w:ascii="Calibri" w:hAnsi="Calibri" w:cs="Calibri"/>
                <w:color w:val="000000"/>
                <w:sz w:val="22"/>
                <w:szCs w:val="22"/>
              </w:rPr>
              <w:t>(e) those who have been granted a complementary form of protection (i.e. non-Convention);</w:t>
            </w:r>
          </w:p>
          <w:p>
            <w:pPr>
              <w:pStyle w:val="19"/>
              <w:rPr>
                <w:rFonts w:hint="default" w:ascii="Calibri" w:hAnsi="Calibri" w:cs="Calibri"/>
                <w:color w:val="000000"/>
                <w:sz w:val="22"/>
                <w:szCs w:val="22"/>
              </w:rPr>
            </w:pPr>
            <w:r>
              <w:rPr>
                <w:rFonts w:hint="default" w:ascii="Calibri" w:hAnsi="Calibri" w:cs="Calibri"/>
                <w:color w:val="000000"/>
                <w:sz w:val="22"/>
                <w:szCs w:val="22"/>
              </w:rPr>
              <w:t>(f) persons who have been granted temporary protection on a group basis;</w:t>
            </w:r>
          </w:p>
          <w:p>
            <w:pPr>
              <w:pStyle w:val="19"/>
            </w:pPr>
            <w:r>
              <w:rPr>
                <w:rFonts w:hint="default" w:ascii="Calibri" w:hAnsi="Calibri" w:cs="Calibri"/>
                <w:color w:val="000000"/>
                <w:sz w:val="22"/>
                <w:szCs w:val="22"/>
              </w:rPr>
              <w:t>Persons in a refugee-like situation refer to those outside their territory of origin who face protection risks similar to those of refugees, but who, for practical or other reasons, have not been formally recognized or issued documentation to that effect.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Number of refugees per 100,000 population in country of origin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UNHCR Refugee Data Finder,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color w:val="000000"/>
              </w:rPr>
              <w:t>United Nations High Commissioner for Refugees (UNHCR)</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hint="default" w:ascii="Calibri" w:hAnsi="Calibri" w:cs="Calibri"/>
                <w:color w:val="000000"/>
                <w:sz w:val="22"/>
                <w:szCs w:val="22"/>
              </w:rPr>
            </w:pPr>
            <w:r>
              <w:rPr>
                <w:rFonts w:hint="default" w:ascii="Calibri" w:hAnsi="Calibri" w:cs="Calibri"/>
                <w:color w:val="000000"/>
                <w:sz w:val="22"/>
                <w:szCs w:val="22"/>
              </w:rPr>
              <w:t>Forced displacement as a result of conflict, violence, and other causes undermine sustainable development, and can increase the risk of regional instability, especially when refugees are hosted in neighbouring countries, resulting in possible tensions with local populations. The United Nations General Assembly Resolution (A/Res/70/1) that adopted the 2030 Agenda for Sustainable Development at paragraph 23 recognizes the relevance of the Agenda to meet the needs of refugees, internally displaced persons and migrants on the basis that they are among the most vulnerable. It also explicitly states that Member States resolve to take further effective measures and actions, to “strengthen support and meet the special needs of people living in areas affected by complex humanitarian emergencies”. In addition, target 10.7 recognizes for the first time the contribution of migration to sustainable development by aiming to “facilitate orderly, safe, and responsible migration and mobility of people, including through implementation of planned and well-managed migration policies”.</w:t>
            </w:r>
          </w:p>
          <w:p>
            <w:pPr>
              <w:pStyle w:val="19"/>
            </w:pPr>
            <w:r>
              <w:rPr>
                <w:rFonts w:hint="default" w:ascii="Calibri" w:hAnsi="Calibri" w:cs="Calibri"/>
                <w:color w:val="000000"/>
                <w:sz w:val="22"/>
                <w:szCs w:val="22"/>
              </w:rPr>
              <w:t>This indicator tracks the number of people displaced across national borders as a result of persecution, conflict, violence, human rights violations, or events seriously disturbing public order. It measures the total count of refugee population by country or territory of origin as a proportion of the total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19"/>
              <w:rPr>
                <w:rFonts w:ascii="Cambria Math" w:hAnsi="Cambria Math" w:cs="Cambria Math"/>
                <w:color w:val="000000"/>
                <w:sz w:val="20"/>
                <w:szCs w:val="20"/>
              </w:rPr>
            </w:pPr>
            <w:r>
              <w:rPr>
                <w:color w:val="000000"/>
                <w:sz w:val="20"/>
                <w:szCs w:val="20"/>
              </w:rPr>
              <w:t>[</w:t>
            </w:r>
            <w:r>
              <w:rPr>
                <w:rFonts w:ascii="Cambria Math" w:hAnsi="Cambria Math" w:cs="Cambria Math"/>
                <w:color w:val="000000"/>
                <w:sz w:val="20"/>
                <w:szCs w:val="20"/>
              </w:rPr>
              <w:t>𝑁𝑢𝑚𝑏𝑒𝑟</w:t>
            </w:r>
            <w:r>
              <w:rPr>
                <w:color w:val="000000"/>
                <w:sz w:val="20"/>
                <w:szCs w:val="20"/>
              </w:rPr>
              <w:t xml:space="preserve"> </w:t>
            </w:r>
            <w:r>
              <w:rPr>
                <w:rFonts w:ascii="Cambria Math" w:hAnsi="Cambria Math" w:cs="Cambria Math"/>
                <w:color w:val="000000"/>
                <w:sz w:val="20"/>
                <w:szCs w:val="20"/>
              </w:rPr>
              <w:t>𝑜𝑓</w:t>
            </w:r>
            <w:r>
              <w:rPr>
                <w:color w:val="000000"/>
                <w:sz w:val="20"/>
                <w:szCs w:val="20"/>
              </w:rPr>
              <w:t xml:space="preserve"> </w:t>
            </w:r>
            <w:r>
              <w:rPr>
                <w:rFonts w:ascii="Cambria Math" w:hAnsi="Cambria Math" w:cs="Cambria Math"/>
                <w:color w:val="000000"/>
                <w:sz w:val="20"/>
                <w:szCs w:val="20"/>
              </w:rPr>
              <w:t>𝑟𝑒𝑓𝑢𝑔𝑒𝑒𝑠</w:t>
            </w:r>
            <w:r>
              <w:rPr>
                <w:color w:val="000000"/>
                <w:sz w:val="20"/>
                <w:szCs w:val="20"/>
              </w:rPr>
              <w:t xml:space="preserve"> </w:t>
            </w:r>
            <w:r>
              <w:rPr>
                <w:rFonts w:ascii="Cambria Math" w:hAnsi="Cambria Math" w:cs="Cambria Math"/>
                <w:color w:val="000000"/>
                <w:sz w:val="20"/>
                <w:szCs w:val="20"/>
              </w:rPr>
              <w:t>𝑏𝑦</w:t>
            </w:r>
            <w:r>
              <w:rPr>
                <w:color w:val="000000"/>
                <w:sz w:val="20"/>
                <w:szCs w:val="20"/>
              </w:rPr>
              <w:t xml:space="preserve"> </w:t>
            </w:r>
            <w:r>
              <w:rPr>
                <w:rFonts w:ascii="Cambria Math" w:hAnsi="Cambria Math" w:cs="Cambria Math"/>
                <w:color w:val="000000"/>
                <w:sz w:val="20"/>
                <w:szCs w:val="20"/>
              </w:rPr>
              <w:t>𝑐𝑜𝑢𝑛𝑡𝑟𝑦</w:t>
            </w:r>
            <w:r>
              <w:rPr>
                <w:color w:val="000000"/>
                <w:sz w:val="20"/>
                <w:szCs w:val="20"/>
              </w:rPr>
              <w:t xml:space="preserve"> </w:t>
            </w:r>
            <w:r>
              <w:rPr>
                <w:rFonts w:ascii="Cambria Math" w:hAnsi="Cambria Math" w:cs="Cambria Math"/>
                <w:color w:val="000000"/>
                <w:sz w:val="20"/>
                <w:szCs w:val="20"/>
              </w:rPr>
              <w:t>𝑜𝑓</w:t>
            </w:r>
            <w:r>
              <w:rPr>
                <w:color w:val="000000"/>
                <w:sz w:val="20"/>
                <w:szCs w:val="20"/>
              </w:rPr>
              <w:t xml:space="preserve"> </w:t>
            </w:r>
            <w:r>
              <w:rPr>
                <w:rFonts w:ascii="Cambria Math" w:hAnsi="Cambria Math" w:cs="Cambria Math"/>
                <w:color w:val="000000"/>
                <w:sz w:val="20"/>
                <w:szCs w:val="20"/>
              </w:rPr>
              <w:t>𝑜𝑟𝑖𝑔𝑖𝑛</w:t>
            </w:r>
            <w:r>
              <w:rPr>
                <w:color w:val="000000"/>
                <w:sz w:val="20"/>
                <w:szCs w:val="20"/>
              </w:rPr>
              <w:t xml:space="preserve"> </w:t>
            </w:r>
            <w:r>
              <w:rPr>
                <w:rFonts w:ascii="Cambria Math" w:hAnsi="Cambria Math" w:cs="Cambria Math"/>
                <w:color w:val="000000"/>
                <w:sz w:val="20"/>
                <w:szCs w:val="20"/>
              </w:rPr>
              <w:t>𝑎𝑡</w:t>
            </w:r>
            <w:r>
              <w:rPr>
                <w:color w:val="000000"/>
                <w:sz w:val="20"/>
                <w:szCs w:val="20"/>
              </w:rPr>
              <w:t xml:space="preserve"> </w:t>
            </w:r>
            <w:r>
              <w:rPr>
                <w:rFonts w:ascii="Cambria Math" w:hAnsi="Cambria Math" w:cs="Cambria Math"/>
                <w:color w:val="000000"/>
                <w:sz w:val="20"/>
                <w:szCs w:val="20"/>
              </w:rPr>
              <w:t>𝑦𝑒𝑎𝑟</w:t>
            </w:r>
            <w:r>
              <w:rPr>
                <w:color w:val="000000"/>
                <w:sz w:val="20"/>
                <w:szCs w:val="20"/>
              </w:rPr>
              <w:t>−</w:t>
            </w:r>
            <w:r>
              <w:rPr>
                <w:rFonts w:ascii="Cambria Math" w:hAnsi="Cambria Math" w:cs="Cambria Math"/>
                <w:color w:val="000000"/>
                <w:sz w:val="20"/>
                <w:szCs w:val="20"/>
              </w:rPr>
              <w:t>𝑒𝑛𝑑/</w:t>
            </w:r>
            <w:r>
              <w:rPr>
                <w:color w:val="000000"/>
                <w:sz w:val="20"/>
                <w:szCs w:val="20"/>
              </w:rPr>
              <w:t>(</w:t>
            </w:r>
            <w:r>
              <w:rPr>
                <w:rFonts w:ascii="Cambria Math" w:hAnsi="Cambria Math" w:cs="Cambria Math"/>
                <w:color w:val="000000"/>
                <w:sz w:val="20"/>
                <w:szCs w:val="20"/>
              </w:rPr>
              <w:t>𝑌𝑒𝑎𝑟</w:t>
            </w:r>
            <w:r>
              <w:rPr>
                <w:color w:val="000000"/>
                <w:sz w:val="20"/>
                <w:szCs w:val="20"/>
              </w:rPr>
              <w:t>−</w:t>
            </w:r>
            <w:r>
              <w:rPr>
                <w:rFonts w:ascii="Cambria Math" w:hAnsi="Cambria Math" w:cs="Cambria Math"/>
                <w:color w:val="000000"/>
                <w:sz w:val="20"/>
                <w:szCs w:val="20"/>
              </w:rPr>
              <w:t>𝑒𝑛𝑑</w:t>
            </w:r>
            <w:r>
              <w:rPr>
                <w:color w:val="000000"/>
                <w:sz w:val="20"/>
                <w:szCs w:val="20"/>
              </w:rPr>
              <w:t xml:space="preserve"> </w:t>
            </w:r>
            <w:r>
              <w:rPr>
                <w:rFonts w:ascii="Cambria Math" w:hAnsi="Cambria Math" w:cs="Cambria Math"/>
                <w:color w:val="000000"/>
                <w:sz w:val="20"/>
                <w:szCs w:val="20"/>
              </w:rPr>
              <w:t>𝑝𝑜𝑝𝑢𝑙𝑎𝑡𝑖𝑜𝑛</w:t>
            </w:r>
            <w:r>
              <w:rPr>
                <w:color w:val="000000"/>
                <w:sz w:val="20"/>
                <w:szCs w:val="20"/>
              </w:rPr>
              <w:t xml:space="preserve"> </w:t>
            </w:r>
            <w:r>
              <w:rPr>
                <w:rFonts w:ascii="Cambria Math" w:hAnsi="Cambria Math" w:cs="Cambria Math"/>
                <w:color w:val="000000"/>
                <w:sz w:val="20"/>
                <w:szCs w:val="20"/>
              </w:rPr>
              <w:t>𝑖𝑛</w:t>
            </w:r>
            <w:r>
              <w:rPr>
                <w:color w:val="000000"/>
                <w:sz w:val="20"/>
                <w:szCs w:val="20"/>
              </w:rPr>
              <w:t xml:space="preserve"> </w:t>
            </w:r>
            <w:r>
              <w:rPr>
                <w:rFonts w:ascii="Cambria Math" w:hAnsi="Cambria Math" w:cs="Cambria Math"/>
                <w:color w:val="000000"/>
                <w:sz w:val="20"/>
                <w:szCs w:val="20"/>
              </w:rPr>
              <w:t>𝑐𝑜𝑢𝑛𝑡𝑟𝑦</w:t>
            </w:r>
            <w:r>
              <w:rPr>
                <w:color w:val="000000"/>
                <w:sz w:val="20"/>
                <w:szCs w:val="20"/>
              </w:rPr>
              <w:t xml:space="preserve"> </w:t>
            </w:r>
            <w:r>
              <w:rPr>
                <w:rFonts w:ascii="Cambria Math" w:hAnsi="Cambria Math" w:cs="Cambria Math"/>
                <w:color w:val="000000"/>
                <w:sz w:val="20"/>
                <w:szCs w:val="20"/>
              </w:rPr>
              <w:t>𝑜𝑓</w:t>
            </w:r>
            <w:r>
              <w:rPr>
                <w:color w:val="000000"/>
                <w:sz w:val="20"/>
                <w:szCs w:val="20"/>
              </w:rPr>
              <w:t xml:space="preserve"> </w:t>
            </w:r>
            <w:r>
              <w:rPr>
                <w:rFonts w:ascii="Cambria Math" w:hAnsi="Cambria Math" w:cs="Cambria Math"/>
                <w:color w:val="000000"/>
                <w:sz w:val="20"/>
                <w:szCs w:val="20"/>
              </w:rPr>
              <w:t>𝑜𝑟𝑖𝑔𝑖𝑛</w:t>
            </w:r>
            <w:r>
              <w:rPr>
                <w:color w:val="000000"/>
                <w:sz w:val="20"/>
                <w:szCs w:val="20"/>
              </w:rPr>
              <w:t xml:space="preserve"> +</w:t>
            </w:r>
            <w:r>
              <w:rPr>
                <w:rFonts w:ascii="Cambria Math" w:hAnsi="Cambria Math" w:cs="Cambria Math"/>
                <w:color w:val="000000"/>
                <w:sz w:val="20"/>
                <w:szCs w:val="20"/>
              </w:rPr>
              <w:t>𝑛𝑢𝑚𝑏𝑒𝑟</w:t>
            </w:r>
            <w:r>
              <w:rPr>
                <w:color w:val="000000"/>
                <w:sz w:val="20"/>
                <w:szCs w:val="20"/>
              </w:rPr>
              <w:t xml:space="preserve"> </w:t>
            </w:r>
            <w:r>
              <w:rPr>
                <w:rFonts w:ascii="Cambria Math" w:hAnsi="Cambria Math" w:cs="Cambria Math"/>
                <w:color w:val="000000"/>
                <w:sz w:val="20"/>
                <w:szCs w:val="20"/>
              </w:rPr>
              <w:t>𝑜𝑓</w:t>
            </w:r>
            <w:r>
              <w:rPr>
                <w:color w:val="000000"/>
                <w:sz w:val="20"/>
                <w:szCs w:val="20"/>
              </w:rPr>
              <w:t xml:space="preserve"> </w:t>
            </w:r>
            <w:r>
              <w:rPr>
                <w:rFonts w:ascii="Cambria Math" w:hAnsi="Cambria Math" w:cs="Cambria Math"/>
                <w:color w:val="000000"/>
                <w:sz w:val="20"/>
                <w:szCs w:val="20"/>
              </w:rPr>
              <w:t>𝑟𝑒𝑓𝑢𝑔𝑒𝑒𝑠</w:t>
            </w:r>
            <w:r>
              <w:rPr>
                <w:color w:val="000000"/>
                <w:sz w:val="20"/>
                <w:szCs w:val="20"/>
              </w:rPr>
              <w:t xml:space="preserve"> </w:t>
            </w:r>
            <w:r>
              <w:rPr>
                <w:rFonts w:ascii="Cambria Math" w:hAnsi="Cambria Math" w:cs="Cambria Math"/>
                <w:color w:val="000000"/>
                <w:sz w:val="20"/>
                <w:szCs w:val="20"/>
              </w:rPr>
              <w:t>𝑏𝑦</w:t>
            </w:r>
            <w:r>
              <w:rPr>
                <w:color w:val="000000"/>
                <w:sz w:val="20"/>
                <w:szCs w:val="20"/>
              </w:rPr>
              <w:t xml:space="preserve"> </w:t>
            </w:r>
            <w:r>
              <w:rPr>
                <w:rFonts w:ascii="Cambria Math" w:hAnsi="Cambria Math" w:cs="Cambria Math"/>
                <w:color w:val="000000"/>
                <w:sz w:val="20"/>
                <w:szCs w:val="20"/>
              </w:rPr>
              <w:t>𝑐𝑜𝑢𝑛𝑡𝑟𝑦</w:t>
            </w:r>
            <w:r>
              <w:rPr>
                <w:color w:val="000000"/>
                <w:sz w:val="20"/>
                <w:szCs w:val="20"/>
              </w:rPr>
              <w:t xml:space="preserve"> </w:t>
            </w:r>
            <w:r>
              <w:rPr>
                <w:rFonts w:ascii="Cambria Math" w:hAnsi="Cambria Math" w:cs="Cambria Math"/>
                <w:color w:val="000000"/>
                <w:sz w:val="20"/>
                <w:szCs w:val="20"/>
              </w:rPr>
              <w:t>𝑜𝑓</w:t>
            </w:r>
            <w:r>
              <w:rPr>
                <w:color w:val="000000"/>
                <w:sz w:val="20"/>
                <w:szCs w:val="20"/>
              </w:rPr>
              <w:t xml:space="preserve"> </w:t>
            </w:r>
            <w:r>
              <w:rPr>
                <w:rFonts w:ascii="Cambria Math" w:hAnsi="Cambria Math" w:cs="Cambria Math"/>
                <w:color w:val="000000"/>
                <w:sz w:val="20"/>
                <w:szCs w:val="20"/>
              </w:rPr>
              <w:t>𝑜𝑟𝑖𝑔𝑖𝑛</w:t>
            </w:r>
            <w:r>
              <w:rPr>
                <w:color w:val="000000"/>
                <w:sz w:val="20"/>
                <w:szCs w:val="20"/>
              </w:rPr>
              <w:t xml:space="preserve"> </w:t>
            </w:r>
            <w:r>
              <w:rPr>
                <w:rFonts w:ascii="Cambria Math" w:hAnsi="Cambria Math" w:cs="Cambria Math"/>
                <w:color w:val="000000"/>
                <w:sz w:val="20"/>
                <w:szCs w:val="20"/>
              </w:rPr>
              <w:t>𝑎𝑡</w:t>
            </w:r>
            <w:r>
              <w:rPr>
                <w:color w:val="000000"/>
                <w:sz w:val="20"/>
                <w:szCs w:val="20"/>
              </w:rPr>
              <w:t xml:space="preserve"> </w:t>
            </w:r>
            <w:r>
              <w:rPr>
                <w:rFonts w:ascii="Cambria Math" w:hAnsi="Cambria Math" w:cs="Cambria Math"/>
                <w:color w:val="000000"/>
                <w:sz w:val="20"/>
                <w:szCs w:val="20"/>
              </w:rPr>
              <w:t>𝑦𝑒𝑎𝑟</w:t>
            </w:r>
            <w:r>
              <w:rPr>
                <w:color w:val="000000"/>
                <w:sz w:val="20"/>
                <w:szCs w:val="20"/>
              </w:rPr>
              <w:t>−</w:t>
            </w:r>
            <w:r>
              <w:rPr>
                <w:rFonts w:ascii="Cambria Math" w:hAnsi="Cambria Math" w:cs="Cambria Math"/>
                <w:color w:val="000000"/>
                <w:sz w:val="20"/>
                <w:szCs w:val="20"/>
              </w:rPr>
              <w:t>𝑒𝑛𝑑</w:t>
            </w:r>
            <w:r>
              <w:rPr>
                <w:color w:val="000000"/>
                <w:sz w:val="20"/>
                <w:szCs w:val="20"/>
              </w:rPr>
              <w:t>)]×100,000</w:t>
            </w:r>
          </w:p>
          <w:p>
            <w:pPr>
              <w:pStyle w:val="19"/>
            </w:pPr>
            <w:r>
              <w:rPr>
                <w:color w:val="000000"/>
                <w:sz w:val="20"/>
                <w:szCs w:val="20"/>
              </w:rPr>
              <w:t>T</w:t>
            </w:r>
            <w:r>
              <w:rPr>
                <w:rFonts w:hint="default" w:ascii="Calibri" w:hAnsi="Calibri" w:cs="Calibri"/>
                <w:color w:val="000000"/>
                <w:sz w:val="20"/>
                <w:szCs w:val="20"/>
              </w:rPr>
              <w:t>he indicator is presented as the number of refugees per 100,000 population in country of origin.</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5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p>
            <w:pPr>
              <w:rPr>
                <w:rStyle w:val="18"/>
              </w:rPr>
            </w:pPr>
            <w:r>
              <w:rPr>
                <w:rStyle w:val="18"/>
              </w:rPr>
              <w:t xml:space="preserve">URL: www.unhcr.org </w:t>
            </w:r>
          </w:p>
          <w:p>
            <w:pPr>
              <w:rPr>
                <w:rStyle w:val="18"/>
              </w:rPr>
            </w:pPr>
            <w:r>
              <w:rPr>
                <w:rStyle w:val="18"/>
              </w:rPr>
              <w:t xml:space="preserve">References: </w:t>
            </w:r>
          </w:p>
          <w:p>
            <w:pPr>
              <w:rPr>
                <w:rStyle w:val="18"/>
              </w:rPr>
            </w:pPr>
            <w:r>
              <w:rPr>
                <w:rStyle w:val="18"/>
              </w:rPr>
              <w:t>UNHCR Refugee Population Statistics Database (https://www.unhcr.org/refugee-statistics/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bookmarkStart w:id="38" w:name="_GoBack"/>
      <w:bookmarkEnd w:id="38"/>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80C"/>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3C5"/>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0F9A"/>
    <w:rsid w:val="00772DE4"/>
    <w:rsid w:val="0077584C"/>
    <w:rsid w:val="00776312"/>
    <w:rsid w:val="00791932"/>
    <w:rsid w:val="00794C21"/>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6663"/>
    <w:rsid w:val="00F54570"/>
    <w:rsid w:val="00F75853"/>
    <w:rsid w:val="00F7784D"/>
    <w:rsid w:val="00F8144F"/>
    <w:rsid w:val="00F8462A"/>
    <w:rsid w:val="00F862A7"/>
    <w:rsid w:val="00F93763"/>
    <w:rsid w:val="00F939A2"/>
    <w:rsid w:val="00F96E8D"/>
    <w:rsid w:val="00FA20D9"/>
    <w:rsid w:val="00FB03D0"/>
    <w:rsid w:val="00FB105B"/>
    <w:rsid w:val="00FD54D7"/>
    <w:rsid w:val="00FF642D"/>
    <w:rsid w:val="07F170EB"/>
    <w:rsid w:val="0C931C35"/>
    <w:rsid w:val="4F2C31CD"/>
    <w:rsid w:val="70AD016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9E14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215968</Words>
  <Characters>1231022</Characters>
  <Lines>10258</Lines>
  <Paragraphs>2888</Paragraphs>
  <TotalTime>18</TotalTime>
  <ScaleCrop>false</ScaleCrop>
  <LinksUpToDate>false</LinksUpToDate>
  <CharactersWithSpaces>1444102</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2022-09-21T19:08:40Z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35EE09ACD9E946189F1F9E7301F88EB1</vt:lpwstr>
  </property>
</Properties>
</file>