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1"/>
        <w:jc w:val="center"/>
        <w:rPr>
          <w:rFonts w:eastAsiaTheme="minorHAnsi"/>
          <w:sz w:val="48"/>
          <w:szCs w:val="48"/>
        </w:rPr>
      </w:pPr>
      <w:r>
        <w:rPr>
          <w:rFonts w:eastAsiaTheme="minorHAnsi"/>
          <w:sz w:val="48"/>
          <w:szCs w:val="48"/>
        </w:rPr>
        <w:t>SDG Metadata Authoring Tool Template</w:t>
      </w:r>
    </w:p>
    <w:p>
      <w:pPr>
        <w:pStyle w:val="19"/>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6"/>
          </w:pPr>
          <w:r>
            <w:t>Contents</w:t>
          </w:r>
        </w:p>
        <w:p>
          <w:pPr>
            <w:pStyle w:val="22"/>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2"/>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3"/>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2"/>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3"/>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7"/>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7"/>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0.0.0 National series not in global framework (_)</w:t>
          </w:r>
          <w:bookmarkEnd w:id="1"/>
        </w:p>
      </w:sdtContent>
    </w:sdt>
    <w:perm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7"/>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3" w:name="_Toc36655608"/>
            <w:bookmarkStart w:id="4" w:name="_Toc37932743"/>
            <w:bookmarkStart w:id="5" w:name="_Toc36813071"/>
            <w:bookmarkStart w:id="6" w:name="_Toc36812571"/>
            <w:bookmarkStart w:id="7" w:name="_Toc36812684"/>
            <w:r>
              <w:rPr>
                <w:rFonts w:hint="default"/>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i/>
                <w:iCs/>
                <w:color w:val="000000"/>
              </w:rPr>
            </w:pPr>
            <w:r>
              <w:rPr>
                <w:rFonts w:hint="default"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4" w:edGrp="everyone" w:colFirst="1" w:colLast="1"/>
            <w:r>
              <w:rPr>
                <w:rFonts w:hint="default"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5" w:edGrp="everyone" w:colFirst="1" w:colLast="1"/>
            <w:r>
              <w:rPr>
                <w:rFonts w:hint="default"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rPr>
            </w:pPr>
            <w:r>
              <w:rPr>
                <w:rFonts w:hint="default" w:eastAsia="Times New Roman" w:cs="Arial"/>
                <w:color w:val="333333"/>
                <w:sz w:val="22"/>
                <w:szCs w:val="22"/>
                <w:lang w:eastAsia="en-GB"/>
              </w:rPr>
              <w:t>Goal 13: Take urgent action to combat climate change and its impacts</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6" w:edGrp="everyone" w:colFirst="1" w:colLast="1"/>
            <w:r>
              <w:rPr>
                <w:rFonts w:hint="default"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rPr>
            </w:pPr>
            <w:r>
              <w:rPr>
                <w:rFonts w:hint="default" w:eastAsia="Times New Roman" w:cs="Arial"/>
                <w:color w:val="333333"/>
                <w:sz w:val="22"/>
                <w:szCs w:val="22"/>
                <w:lang w:eastAsia="en-GB"/>
              </w:rPr>
              <w:t>Target 13.1: Strengthen resilience and adaptive capacity to climate-related hazards and natural disasters in all countries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7" w:edGrp="everyone" w:colFirst="1" w:colLast="1"/>
            <w:r>
              <w:rPr>
                <w:rFonts w:hint="default"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5F5F5"/>
              <w:spacing w:before="0" w:beforeAutospacing="0" w:after="0" w:afterAutospacing="0" w:line="240" w:lineRule="auto"/>
              <w:ind w:left="0" w:right="0"/>
              <w:outlineLvl w:val="1"/>
              <w:rPr>
                <w:rFonts w:hint="default" w:eastAsia="Times New Roman" w:cs="Arial"/>
                <w:color w:val="1C75BC"/>
                <w:lang w:eastAsia="en-GB"/>
              </w:rPr>
            </w:pPr>
            <w:r>
              <w:rPr>
                <w:rFonts w:hint="default" w:eastAsia="Times New Roman" w:cs="Arial"/>
                <w:color w:val="auto"/>
                <w:lang w:eastAsia="en-GB"/>
              </w:rPr>
              <w:t>Indicator 13.1.1: Number of deaths, missing persons and directly affected persons attributed to disasters per 100,000 population</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8" w:edGrp="everyone" w:colFirst="1" w:colLast="1"/>
            <w:r>
              <w:rPr>
                <w:rFonts w:hint="default"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9" w:edGrp="everyone" w:colFirst="1" w:colLast="1"/>
            <w:r>
              <w:rPr>
                <w:rFonts w:hint="default"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0" w:edGrp="everyone" w:colFirst="1" w:colLast="1"/>
            <w:r>
              <w:rPr>
                <w:rFonts w:hint="default"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55" w:right="0"/>
              <w:rPr>
                <w:rFonts w:hint="default" w:ascii="Calibri" w:hAnsi="Calibri" w:eastAsia="Times New Roman" w:cs="Calibri"/>
                <w:color w:val="000000"/>
              </w:rPr>
            </w:pPr>
            <w:permStart w:id="11" w:edGrp="everyone" w:colFirst="1" w:colLast="1"/>
            <w:r>
              <w:rPr>
                <w:rFonts w:hint="default"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line="336" w:lineRule="atLeast"/>
              <w:ind w:left="0" w:right="0"/>
              <w:rPr>
                <w:rFonts w:hint="default"/>
              </w:rPr>
            </w:pPr>
            <w:r>
              <w:rPr>
                <w:rFonts w:hint="default" w:eastAsia="Times New Roman" w:cs="Arial"/>
                <w:color w:val="4A4A4A"/>
                <w:sz w:val="22"/>
                <w:szCs w:val="22"/>
                <w:lang w:eastAsia="en-GB"/>
              </w:rPr>
              <w:t>United Nations Office for Disaster Reduction (UNISDR)</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8" w:name="_Toc36812572"/>
            <w:bookmarkStart w:id="9" w:name="_Toc36812685"/>
            <w:bookmarkStart w:id="10" w:name="_Toc36655609"/>
            <w:bookmarkStart w:id="11" w:name="_Toc37932744"/>
            <w:bookmarkStart w:id="12" w:name="_Toc36813072"/>
            <w:r>
              <w:rPr>
                <w:rFonts w:hint="default"/>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12" w:edGrp="everyone" w:colFirst="1" w:colLast="1"/>
            <w:r>
              <w:rPr>
                <w:rFonts w:hint="default"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3" w:edGrp="everyone" w:colFirst="1" w:colLast="1"/>
            <w:r>
              <w:rPr>
                <w:rFonts w:hint="default"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rPr>
              <w:t>N</w:t>
            </w:r>
            <w:r>
              <w:rPr>
                <w:rFonts w:hint="default"/>
                <w:lang w:val="en-CA"/>
              </w:rPr>
              <w:t xml:space="preserve">ational </w:t>
            </w:r>
            <w:r>
              <w:rPr>
                <w:rFonts w:hint="default"/>
              </w:rPr>
              <w:t>D</w:t>
            </w:r>
            <w:r>
              <w:rPr>
                <w:rFonts w:hint="default"/>
                <w:lang w:val="en-CA"/>
              </w:rPr>
              <w:t xml:space="preserve">isaster </w:t>
            </w:r>
            <w:r>
              <w:rPr>
                <w:rFonts w:hint="default"/>
              </w:rPr>
              <w:t>M</w:t>
            </w:r>
            <w:r>
              <w:rPr>
                <w:rFonts w:hint="default"/>
                <w:lang w:val="en-CA"/>
              </w:rPr>
              <w:t xml:space="preserve">anagement </w:t>
            </w:r>
            <w:r>
              <w:rPr>
                <w:rFonts w:hint="default"/>
              </w:rPr>
              <w:t>O</w:t>
            </w:r>
            <w:r>
              <w:rPr>
                <w:rFonts w:hint="default"/>
                <w:lang w:val="en-CA"/>
              </w:rPr>
              <w:t>rganisation (NADMO)</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4" w:edGrp="everyone" w:colFirst="1" w:colLast="1"/>
            <w:r>
              <w:rPr>
                <w:rFonts w:hint="default"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5" w:edGrp="everyone" w:colFirst="1" w:colLast="1"/>
            <w:r>
              <w:rPr>
                <w:rFonts w:hint="default"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6" w:edGrp="everyone" w:colFirst="1" w:colLast="1"/>
            <w:r>
              <w:rPr>
                <w:rFonts w:hint="default"/>
              </w:rPr>
              <w:t>1</w:t>
            </w:r>
            <w:r>
              <w:rPr>
                <w:rFonts w:hint="default" w:ascii="Calibri" w:hAnsi="Calibri" w:eastAsia="Times New Roman" w:cs="Calibri"/>
              </w:rPr>
              <w:t>.d.</w:t>
            </w:r>
            <w:r>
              <w:rPr>
                <w:rFonts w:hint="default"/>
              </w:rPr>
              <w:t xml:space="preserve"> Contact person function</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7" w:edGrp="everyone" w:colFirst="1" w:colLast="1"/>
            <w:r>
              <w:rPr>
                <w:rFonts w:hint="default"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8" w:edGrp="everyone" w:colFirst="1" w:colLast="1"/>
            <w:r>
              <w:rPr>
                <w:rFonts w:hint="default"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19" w:edGrp="everyone" w:colFirst="1" w:colLast="1"/>
            <w:r>
              <w:rPr>
                <w:rFonts w:hint="default"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3" w:name="_Toc36813073"/>
            <w:bookmarkStart w:id="14" w:name="_Toc36812573"/>
            <w:bookmarkStart w:id="15" w:name="_Toc36655610"/>
            <w:bookmarkStart w:id="16" w:name="_Toc36812686"/>
            <w:bookmarkStart w:id="17" w:name="_Toc37932745"/>
            <w:r>
              <w:rPr>
                <w:rFonts w:hint="default"/>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0" w:edGrp="everyone" w:colFirst="1" w:colLast="1"/>
            <w:r>
              <w:rPr>
                <w:rFonts w:hint="default"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1" w:edGrp="everyone" w:colFirst="1" w:colLast="1"/>
            <w:r>
              <w:rPr>
                <w:rFonts w:hint="default"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Definition:</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color w:val="4A4A4A"/>
                <w:sz w:val="22"/>
                <w:szCs w:val="22"/>
                <w:lang w:eastAsia="en-GB"/>
              </w:rPr>
            </w:pPr>
            <w:r>
              <w:rPr>
                <w:rFonts w:hint="default" w:eastAsia="Times New Roman" w:cs="Times New Roman"/>
                <w:color w:val="4A4A4A"/>
                <w:sz w:val="22"/>
                <w:szCs w:val="22"/>
                <w:lang w:eastAsia="en-GB"/>
              </w:rPr>
              <w:t xml:space="preserve">This indicator measures the number of people who died, went missing or were directly affected by disasters per 100,000 population. </w:t>
            </w: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p>
          <w:p>
            <w:pPr>
              <w:keepNext w:val="0"/>
              <w:keepLines w:val="0"/>
              <w:widowControl/>
              <w:suppressLineNumbers w:val="0"/>
              <w:shd w:val="clear" w:color="auto" w:fill="FFFFFF"/>
              <w:spacing w:before="0" w:beforeAutospacing="0" w:after="0" w:afterAutospacing="0"/>
              <w:ind w:left="0" w:right="0"/>
              <w:jc w:val="both"/>
              <w:rPr>
                <w:rFonts w:hint="default" w:eastAsia="Times New Roman" w:cs="Times New Roman"/>
                <w:b/>
                <w:bCs/>
                <w:color w:val="4A4A4A"/>
                <w:sz w:val="22"/>
                <w:szCs w:val="22"/>
                <w:lang w:eastAsia="en-GB"/>
              </w:rPr>
            </w:pPr>
            <w:r>
              <w:rPr>
                <w:rFonts w:hint="default" w:eastAsia="Times New Roman" w:cs="Times New Roman"/>
                <w:b/>
                <w:bCs/>
                <w:color w:val="4A4A4A"/>
                <w:sz w:val="22"/>
                <w:szCs w:val="22"/>
                <w:lang w:eastAsia="en-GB"/>
              </w:rPr>
              <w:t>Concepts:</w:t>
            </w:r>
          </w:p>
          <w:p>
            <w:pPr>
              <w:keepNext w:val="0"/>
              <w:keepLines w:val="0"/>
              <w:widowControl/>
              <w:suppressLineNumbers w:val="0"/>
              <w:spacing w:before="120" w:beforeAutospacing="0" w:after="240" w:afterAutospacing="0"/>
              <w:ind w:left="0" w:right="0"/>
              <w:rPr>
                <w:rFonts w:hint="default" w:eastAsiaTheme="minorEastAsia"/>
                <w:b/>
                <w:sz w:val="22"/>
                <w:szCs w:val="22"/>
                <w:lang w:eastAsia="zh-CN"/>
              </w:rPr>
            </w:pPr>
            <w:r>
              <w:rPr>
                <w:rFonts w:hint="default"/>
                <w:b/>
                <w:sz w:val="22"/>
                <w:szCs w:val="22"/>
              </w:rPr>
              <w:t xml:space="preserve">Death: </w:t>
            </w:r>
            <w:r>
              <w:rPr>
                <w:rFonts w:hint="default"/>
                <w:bCs/>
                <w:sz w:val="22"/>
                <w:szCs w:val="22"/>
              </w:rPr>
              <w:t>The number of people who died during the disaster, or directly after, as a direct result of the hazardous event.</w:t>
            </w:r>
          </w:p>
          <w:p>
            <w:pPr>
              <w:keepNext w:val="0"/>
              <w:keepLines w:val="0"/>
              <w:widowControl/>
              <w:suppressLineNumbers w:val="0"/>
              <w:spacing w:before="120" w:beforeAutospacing="0" w:after="240" w:afterAutospacing="0"/>
              <w:ind w:left="0" w:right="0"/>
              <w:rPr>
                <w:rFonts w:hint="default"/>
                <w:b/>
                <w:sz w:val="22"/>
                <w:szCs w:val="22"/>
              </w:rPr>
            </w:pPr>
            <w:r>
              <w:rPr>
                <w:rFonts w:hint="default"/>
                <w:b/>
                <w:sz w:val="22"/>
                <w:szCs w:val="22"/>
              </w:rPr>
              <w:t xml:space="preserve">Missing: </w:t>
            </w:r>
            <w:r>
              <w:rPr>
                <w:rFonts w:hint="default"/>
                <w:sz w:val="22"/>
                <w:szCs w:val="22"/>
              </w:rPr>
              <w:t>The number of people whose whereabouts is unknown since the hazardous event. It</w:t>
            </w:r>
            <w:r>
              <w:rPr>
                <w:rFonts w:hint="default"/>
                <w:b/>
                <w:bCs/>
                <w:sz w:val="22"/>
                <w:szCs w:val="22"/>
              </w:rPr>
              <w:t xml:space="preserve"> </w:t>
            </w:r>
            <w:r>
              <w:rPr>
                <w:rFonts w:hint="default"/>
                <w:sz w:val="22"/>
                <w:szCs w:val="22"/>
              </w:rPr>
              <w:t>includes people who are presumed dead, for whom there is no physical evidence such as a body, and for which an official/legal report has been filed with competent authorities.</w:t>
            </w:r>
          </w:p>
          <w:p>
            <w:pPr>
              <w:keepNext w:val="0"/>
              <w:keepLines w:val="0"/>
              <w:widowControl/>
              <w:suppressLineNumbers w:val="0"/>
              <w:shd w:val="clear" w:color="auto" w:fill="FFFFFF"/>
              <w:spacing w:before="0" w:beforeAutospacing="0" w:after="0" w:afterAutospacing="0"/>
              <w:ind w:left="0" w:right="0"/>
              <w:jc w:val="both"/>
              <w:rPr>
                <w:rFonts w:hint="default"/>
              </w:rPr>
            </w:pPr>
            <w:r>
              <w:rPr>
                <w:rFonts w:hint="default" w:eastAsia="Times New Roman" w:cs="Times New Roman"/>
                <w:b/>
                <w:bCs/>
                <w:color w:val="4A4A4A"/>
                <w:sz w:val="22"/>
                <w:szCs w:val="22"/>
                <w:lang w:eastAsia="en-GB"/>
              </w:rPr>
              <w:t xml:space="preserve">Directly affected:  </w:t>
            </w:r>
            <w:r>
              <w:rPr>
                <w:rFonts w:hint="default"/>
                <w:sz w:val="22"/>
                <w:szCs w:val="22"/>
              </w:rPr>
              <w:t xml:space="preserve">The number of people </w:t>
            </w:r>
            <w:r>
              <w:rPr>
                <w:rFonts w:hint="default" w:eastAsia="Times New Roman" w:cs="Times New Roman"/>
                <w:color w:val="4A4A4A"/>
                <w:sz w:val="22"/>
                <w:szCs w:val="22"/>
                <w:lang w:eastAsia="en-GB"/>
              </w:rPr>
              <w:t>who have suffered injury, illness or other health effects; who were evacuated, displaced, relocated or have suffered direct damage to their livelihoods, economic, physical, social, cultural and environmental assets. Indirectly affected are people who have suffered consequences, other than or in addition to direct effects, over time, due to disruption or changes in economy, critical infrastructure, basic services, commerce or work, or social, health and psychological consequences.</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2" w:edGrp="everyone" w:colFirst="1" w:colLast="1"/>
            <w:r>
              <w:rPr>
                <w:rFonts w:hint="default"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Number</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3" w:edGrp="everyone" w:colFirst="1" w:colLast="1"/>
            <w:r>
              <w:rPr>
                <w:rFonts w:hint="default"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bookmarkStart w:id="18" w:name="_Toc37932746"/>
            <w:bookmarkStart w:id="19" w:name="_Toc36813074"/>
            <w:r>
              <w:rPr>
                <w:rFonts w:hint="default"/>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ermStart w:id="24" w:edGrp="everyone" w:colFirst="1" w:colLast="1"/>
            <w:r>
              <w:rPr>
                <w:rFonts w:hint="default"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5" w:edGrp="everyone" w:colFirst="1" w:colLast="1"/>
            <w:r>
              <w:rPr>
                <w:rFonts w:hint="default"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Annual report 2019,2020</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6" w:edGrp="everyone" w:colFirst="1" w:colLast="1"/>
            <w:r>
              <w:rPr>
                <w:rFonts w:hint="default"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7" w:edGrp="everyone" w:colFirst="1" w:colLast="1"/>
            <w:r>
              <w:rPr>
                <w:rFonts w:hint="default"/>
              </w:rPr>
              <w:t>3.c. Data collection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8" w:edGrp="everyone" w:colFirst="1" w:colLast="1"/>
            <w:r>
              <w:rPr>
                <w:rFonts w:hint="default"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29" w:edGrp="everyone" w:colFirst="1" w:colLast="1"/>
            <w:r>
              <w:rPr>
                <w:rFonts w:hint="default"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National Disaster Management Organisation (NADMO)</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0" w:edGrp="everyone" w:colFirst="1" w:colLast="1"/>
            <w:r>
              <w:rPr>
                <w:rFonts w:hint="default"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lang w:val="en-CA"/>
              </w:rPr>
            </w:pPr>
            <w:r>
              <w:rPr>
                <w:rFonts w:hint="default"/>
                <w:lang w:val="en-CA"/>
              </w:rPr>
              <w:t>Ghana Statistical Service (GSS)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1" w:edGrp="everyone" w:colFirst="1" w:colLast="1"/>
            <w:r>
              <w:rPr>
                <w:rFonts w:hint="default"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0" w:name="_Toc37932747"/>
            <w:bookmarkStart w:id="21" w:name="_Toc36812575"/>
            <w:bookmarkStart w:id="22" w:name="_Toc36813075"/>
            <w:bookmarkStart w:id="23" w:name="_Toc36812688"/>
            <w:bookmarkStart w:id="24" w:name="_Toc36655612"/>
            <w:r>
              <w:rPr>
                <w:rFonts w:hint="default"/>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b/>
                <w:bCs/>
              </w:rPr>
            </w:pPr>
            <w:permStart w:id="32" w:edGrp="everyone" w:colFirst="1" w:colLast="1"/>
            <w:r>
              <w:rPr>
                <w:rFonts w:hint="default"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3" w:edGrp="everyone" w:colFirst="1" w:colLast="1"/>
            <w:r>
              <w:rPr>
                <w:rFonts w:hint="default"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The Sendai Framework for Disaster Risk Reduction 2015-2030 was adopted by UN Member States in March 2015 as a global policy of disaster risk reduction. Among the global targets, “Target A: Substantially reduce global disaster mortality by 2030, aiming to lower average per 100,000 global mortality between 2020-2030 compared with 2005-2015” and “Target B: Substantially reduce the number of affected people globally by 2030, aiming to lower the average global figure per 100,000 between 2020-2030 compared with 2005-2015” will contribute to sustainable development and strengthen economic, social, health and environmental resilience. The economic, environmental and social perspectives would include poverty eradication, urban resilience, and climate change adaptation. The open-ended intergovernmental expert working group on indicators and terminology relating to disaster risk reduction (OIEWG) established by the General Assembly (resolution 69/284) has developed a set of indicators to measure global progress in the implementation of the Sendai Framework, which was endorsed by the UNGA (OIEWG report A/71/644). The relevant global indicators for the Sendai Framework will be used to report for this indicator. Disaster loss data is greatly influenced by large-scale catastrophic events, which represent important outliers. UNISDR recommends countries report the data by event, so that complementary analysis can be undertaken to obtain trends and patterns in which such catastrophic events (that can represent outliers) can be included or excluded.</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4" w:edGrp="everyone" w:colFirst="1" w:colLast="1"/>
            <w:r>
              <w:rPr>
                <w:rFonts w:hint="default"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5" w:edGrp="everyone" w:colFirst="1" w:colLast="1"/>
            <w:r>
              <w:rPr>
                <w:rFonts w:hint="default"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8" w:afterAutospacing="0" w:line="266" w:lineRule="auto"/>
              <w:ind w:left="-5" w:right="0" w:hanging="10"/>
              <w:jc w:val="left"/>
              <w:rPr>
                <w:rFonts w:hint="default" w:ascii="Calibri" w:hAnsi="Calibri" w:cs="Calibri"/>
                <w:sz w:val="22"/>
                <w:szCs w:val="22"/>
                <w:lang w:val="en-US"/>
              </w:rPr>
            </w:pPr>
            <w:r>
              <w:rPr>
                <w:rFonts w:hint="default" w:ascii="Calibri" w:hAnsi="Calibri" w:eastAsia="Calibri" w:cs="Calibri"/>
                <w:color w:val="4A4A4A"/>
                <w:kern w:val="0"/>
                <w:sz w:val="22"/>
                <w:szCs w:val="22"/>
                <w:lang w:val="en-US" w:eastAsia="zh-CN" w:bidi="ar"/>
              </w:rPr>
              <w:t xml:space="preserve">Related indicators as of February 2020 </w:t>
            </w:r>
          </w:p>
          <w:p>
            <w:pPr>
              <w:keepNext w:val="0"/>
              <w:keepLines w:val="0"/>
              <w:widowControl/>
              <w:suppressLineNumbers w:val="0"/>
              <w:spacing w:before="0" w:beforeAutospacing="0" w:after="37" w:afterAutospacing="0" w:line="256" w:lineRule="auto"/>
              <w:ind w:left="0" w:right="0" w:firstLine="0"/>
              <w:jc w:val="left"/>
              <w:rPr>
                <w:rFonts w:hint="default" w:ascii="Calibri" w:hAnsi="Calibri" w:cs="Calibri"/>
                <w:sz w:val="22"/>
                <w:szCs w:val="22"/>
                <w:lang w:val="en-US"/>
              </w:rPr>
            </w:pPr>
            <w:r>
              <w:rPr>
                <w:rFonts w:hint="default" w:ascii="Calibri" w:hAnsi="Calibri" w:eastAsia="Calibri" w:cs="Calibri"/>
                <w:color w:val="4A4A4A"/>
                <w:kern w:val="0"/>
                <w:sz w:val="22"/>
                <w:szCs w:val="22"/>
                <w:lang w:val="en-US" w:eastAsia="zh-CN" w:bidi="ar"/>
              </w:rPr>
              <w:t xml:space="preserve"> </w:t>
            </w:r>
          </w:p>
          <w:p>
            <w:pPr>
              <w:keepNext w:val="0"/>
              <w:keepLines w:val="0"/>
              <w:widowControl/>
              <w:suppressLineNumbers w:val="0"/>
              <w:spacing w:before="0" w:beforeAutospacing="0" w:after="0" w:afterAutospacing="0" w:line="256" w:lineRule="auto"/>
              <w:ind w:left="36" w:right="476" w:hanging="10"/>
              <w:jc w:val="center"/>
              <w:rPr>
                <w:rFonts w:hint="default" w:ascii="Calibri" w:hAnsi="Calibri" w:cs="Calibri"/>
                <w:sz w:val="22"/>
                <w:szCs w:val="22"/>
                <w:lang w:val="en-CA"/>
              </w:rPr>
            </w:pPr>
            <w:r>
              <w:rPr>
                <w:rFonts w:hint="default" w:ascii="Calibri" w:hAnsi="Calibri" w:eastAsia="Cambria Math" w:cs="Calibri"/>
                <w:color w:val="4A4A4A"/>
                <w:kern w:val="0"/>
                <w:sz w:val="22"/>
                <w:szCs w:val="22"/>
                <w:lang w:val="en-CA" w:eastAsia="zh-CN" w:bidi="ar"/>
              </w:rPr>
              <w:t>=[</w:t>
            </w:r>
            <w:r>
              <w:rPr>
                <w:rFonts w:hint="default" w:ascii="Calibri" w:hAnsi="Calibri" w:eastAsia="Cambria Math" w:cs="Calibri"/>
                <w:color w:val="4A4A4A"/>
                <w:kern w:val="0"/>
                <w:sz w:val="22"/>
                <w:szCs w:val="22"/>
                <w:lang w:val="en-US" w:eastAsia="zh-CN" w:bidi="ar"/>
              </w:rPr>
              <w:t>(</w:t>
            </w:r>
            <w:r>
              <w:rPr>
                <w:rFonts w:hint="default" w:ascii="Calibri" w:hAnsi="Calibri" w:eastAsia="Cambria Math" w:cs="Calibri"/>
                <w:color w:val="4A4A4A"/>
                <w:kern w:val="0"/>
                <w:sz w:val="22"/>
                <w:szCs w:val="22"/>
                <w:lang w:val="en-CA" w:eastAsia="zh-CN" w:bidi="ar"/>
              </w:rPr>
              <w:t>A</w:t>
            </w:r>
            <w:r>
              <w:rPr>
                <w:rFonts w:hint="default" w:ascii="Calibri" w:hAnsi="Calibri" w:eastAsia="Cambria Math" w:cs="Calibri"/>
                <w:color w:val="4A4A4A"/>
                <w:kern w:val="0"/>
                <w:sz w:val="22"/>
                <w:szCs w:val="22"/>
                <w:vertAlign w:val="subscript"/>
                <w:lang w:val="en-US" w:eastAsia="zh-CN" w:bidi="ar"/>
              </w:rPr>
              <w:t xml:space="preserve">2 </w:t>
            </w:r>
            <w:r>
              <w:rPr>
                <w:rFonts w:hint="default" w:ascii="Calibri" w:hAnsi="Calibri" w:eastAsia="Cambria Math" w:cs="Calibri"/>
                <w:color w:val="4A4A4A"/>
                <w:kern w:val="0"/>
                <w:sz w:val="22"/>
                <w:szCs w:val="22"/>
                <w:lang w:val="en-US" w:eastAsia="zh-CN" w:bidi="ar"/>
              </w:rPr>
              <w:t>+</w:t>
            </w:r>
            <w:r>
              <w:rPr>
                <w:rFonts w:hint="default" w:ascii="Calibri" w:hAnsi="Calibri" w:eastAsia="Cambria Math" w:cs="Calibri"/>
                <w:color w:val="4A4A4A"/>
                <w:kern w:val="0"/>
                <w:sz w:val="22"/>
                <w:szCs w:val="22"/>
                <w:lang w:val="en-CA" w:eastAsia="zh-CN" w:bidi="ar"/>
              </w:rPr>
              <w:t>A</w:t>
            </w:r>
            <w:r>
              <w:rPr>
                <w:rFonts w:hint="default" w:ascii="Calibri" w:hAnsi="Calibri" w:eastAsia="Cambria Math" w:cs="Calibri"/>
                <w:color w:val="4A4A4A"/>
                <w:kern w:val="0"/>
                <w:sz w:val="22"/>
                <w:szCs w:val="22"/>
                <w:lang w:val="en-US" w:eastAsia="zh-CN" w:bidi="ar"/>
              </w:rPr>
              <w:t xml:space="preserve"> </w:t>
            </w:r>
            <w:r>
              <w:rPr>
                <w:rFonts w:hint="default" w:ascii="Calibri" w:hAnsi="Calibri" w:eastAsia="Cambria Math" w:cs="Calibri"/>
                <w:color w:val="4A4A4A"/>
                <w:kern w:val="0"/>
                <w:sz w:val="22"/>
                <w:szCs w:val="22"/>
                <w:vertAlign w:val="subscript"/>
                <w:lang w:val="en-US" w:eastAsia="zh-CN" w:bidi="ar"/>
              </w:rPr>
              <w:t xml:space="preserve">3 </w:t>
            </w:r>
            <w:r>
              <w:rPr>
                <w:rFonts w:hint="default" w:ascii="Calibri" w:hAnsi="Calibri" w:eastAsia="Cambria Math" w:cs="Calibri"/>
                <w:color w:val="4A4A4A"/>
                <w:kern w:val="0"/>
                <w:sz w:val="22"/>
                <w:szCs w:val="22"/>
                <w:lang w:val="en-US" w:eastAsia="zh-CN" w:bidi="ar"/>
              </w:rPr>
              <w:t>+</w:t>
            </w:r>
            <w:r>
              <w:rPr>
                <w:rFonts w:hint="default" w:ascii="Calibri" w:hAnsi="Calibri" w:eastAsia="Cambria Math" w:cs="Calibri"/>
                <w:color w:val="4A4A4A"/>
                <w:kern w:val="0"/>
                <w:sz w:val="22"/>
                <w:szCs w:val="22"/>
                <w:lang w:val="en-CA" w:eastAsia="zh-CN" w:bidi="ar"/>
              </w:rPr>
              <w:t>B</w:t>
            </w:r>
            <w:r>
              <w:rPr>
                <w:rFonts w:hint="default" w:ascii="Calibri" w:hAnsi="Calibri" w:eastAsia="Cambria Math" w:cs="Calibri"/>
                <w:color w:val="4A4A4A"/>
                <w:kern w:val="0"/>
                <w:sz w:val="22"/>
                <w:szCs w:val="22"/>
                <w:lang w:val="en-US" w:eastAsia="zh-CN" w:bidi="ar"/>
              </w:rPr>
              <w:t xml:space="preserve"> </w:t>
            </w:r>
            <w:r>
              <w:rPr>
                <w:rFonts w:hint="default" w:ascii="Calibri" w:hAnsi="Calibri" w:eastAsia="Cambria Math" w:cs="Calibri"/>
                <w:color w:val="4A4A4A"/>
                <w:kern w:val="0"/>
                <w:sz w:val="22"/>
                <w:szCs w:val="22"/>
                <w:vertAlign w:val="subscript"/>
                <w:lang w:val="en-US" w:eastAsia="zh-CN" w:bidi="ar"/>
              </w:rPr>
              <w:t>1</w:t>
            </w:r>
            <w:r>
              <w:rPr>
                <w:rFonts w:hint="default" w:ascii="Calibri" w:hAnsi="Calibri" w:eastAsia="Cambria Math" w:cs="Calibri"/>
                <w:color w:val="4A4A4A"/>
                <w:kern w:val="0"/>
                <w:sz w:val="22"/>
                <w:szCs w:val="22"/>
                <w:lang w:val="en-US" w:eastAsia="zh-CN" w:bidi="ar"/>
              </w:rPr>
              <w:t>)</w:t>
            </w:r>
            <w:r>
              <w:rPr>
                <w:rFonts w:hint="default" w:ascii="Calibri" w:hAnsi="Calibri" w:eastAsia="Cambria Math" w:cs="Calibri"/>
                <w:color w:val="4A4A4A"/>
                <w:kern w:val="0"/>
                <w:sz w:val="22"/>
                <w:szCs w:val="22"/>
                <w:lang w:val="en-CA" w:eastAsia="zh-CN" w:bidi="ar"/>
              </w:rPr>
              <w:t>/ Total population ] * 100,000</w:t>
            </w:r>
          </w:p>
          <w:p>
            <w:pPr>
              <w:keepNext w:val="0"/>
              <w:keepLines w:val="0"/>
              <w:widowControl/>
              <w:suppressLineNumbers w:val="0"/>
              <w:tabs>
                <w:tab w:val="center" w:pos="2934"/>
                <w:tab w:val="center" w:pos="4685"/>
              </w:tabs>
              <w:spacing w:before="0" w:beforeAutospacing="0" w:after="0" w:afterAutospacing="0" w:line="256" w:lineRule="auto"/>
              <w:ind w:left="0" w:right="0" w:firstLine="0"/>
              <w:jc w:val="left"/>
              <w:rPr>
                <w:rFonts w:hint="default" w:ascii="Calibri" w:hAnsi="Calibri" w:cs="Calibri"/>
                <w:sz w:val="22"/>
                <w:szCs w:val="22"/>
                <w:lang w:val="en-US"/>
              </w:rPr>
            </w:pPr>
            <w:r>
              <w:rPr>
                <w:rFonts w:hint="default" w:ascii="Calibri" w:hAnsi="Calibri" w:eastAsia="Calibri" w:cs="Calibri"/>
                <w:color w:val="4A4A4A"/>
                <w:kern w:val="0"/>
                <w:sz w:val="22"/>
                <w:szCs w:val="22"/>
                <w:lang w:val="en-US" w:eastAsia="zh-CN" w:bidi="ar"/>
              </w:rPr>
              <w:t xml:space="preserve">Where: </w:t>
            </w:r>
          </w:p>
          <w:p>
            <w:pPr>
              <w:keepNext w:val="0"/>
              <w:keepLines w:val="0"/>
              <w:widowControl/>
              <w:suppressLineNumbers w:val="0"/>
              <w:spacing w:before="0" w:beforeAutospacing="0" w:after="8" w:afterAutospacing="0" w:line="266" w:lineRule="auto"/>
              <w:ind w:left="-5" w:right="0" w:hanging="10"/>
              <w:jc w:val="left"/>
              <w:rPr>
                <w:rFonts w:hint="default" w:ascii="Calibri" w:hAnsi="Calibri" w:eastAsia="Calibri" w:cs="Calibri"/>
                <w:color w:val="4A4A4A"/>
                <w:kern w:val="0"/>
                <w:sz w:val="22"/>
                <w:szCs w:val="22"/>
                <w:lang w:val="en-US" w:eastAsia="zh-CN" w:bidi="ar"/>
              </w:rPr>
            </w:pPr>
            <w:r>
              <w:rPr>
                <w:rFonts w:hint="default" w:ascii="Calibri" w:hAnsi="Calibri" w:eastAsia="Calibri" w:cs="Calibri"/>
                <w:color w:val="4A4A4A"/>
                <w:kern w:val="0"/>
                <w:sz w:val="22"/>
                <w:szCs w:val="22"/>
                <w:lang w:val="en-US" w:eastAsia="zh-CN" w:bidi="ar"/>
              </w:rPr>
              <w:t>A</w:t>
            </w:r>
            <w:r>
              <w:rPr>
                <w:rFonts w:hint="default" w:ascii="Calibri" w:hAnsi="Calibri" w:eastAsia="Calibri" w:cs="Calibri"/>
                <w:color w:val="4A4A4A"/>
                <w:kern w:val="0"/>
                <w:sz w:val="22"/>
                <w:szCs w:val="22"/>
                <w:vertAlign w:val="subscript"/>
                <w:lang w:val="en-US" w:eastAsia="zh-CN" w:bidi="ar"/>
              </w:rPr>
              <w:t xml:space="preserve">2 </w:t>
            </w:r>
            <w:r>
              <w:rPr>
                <w:rFonts w:hint="default" w:ascii="Calibri" w:hAnsi="Calibri" w:eastAsia="Calibri" w:cs="Calibri"/>
                <w:color w:val="4A4A4A"/>
                <w:kern w:val="0"/>
                <w:sz w:val="22"/>
                <w:szCs w:val="22"/>
                <w:lang w:val="en-US" w:eastAsia="zh-CN" w:bidi="ar"/>
              </w:rPr>
              <w:t xml:space="preserve"> Number of deaths attributed to disasters;  </w:t>
            </w:r>
          </w:p>
          <w:p>
            <w:pPr>
              <w:keepNext w:val="0"/>
              <w:keepLines w:val="0"/>
              <w:widowControl/>
              <w:suppressLineNumbers w:val="0"/>
              <w:spacing w:before="0" w:beforeAutospacing="0" w:after="8" w:afterAutospacing="0" w:line="266" w:lineRule="auto"/>
              <w:ind w:left="-5" w:right="0" w:hanging="10"/>
              <w:jc w:val="left"/>
              <w:rPr>
                <w:rFonts w:hint="default" w:ascii="Calibri" w:hAnsi="Calibri" w:eastAsia="Calibri" w:cs="Calibri"/>
                <w:color w:val="4A4A4A"/>
                <w:kern w:val="0"/>
                <w:sz w:val="22"/>
                <w:szCs w:val="22"/>
                <w:vertAlign w:val="baseline"/>
                <w:lang w:val="en-CA" w:eastAsia="zh-CN" w:bidi="ar"/>
              </w:rPr>
            </w:pPr>
            <w:r>
              <w:rPr>
                <w:rFonts w:hint="default" w:ascii="Calibri" w:hAnsi="Calibri" w:eastAsia="Calibri" w:cs="Calibri"/>
                <w:color w:val="4A4A4A"/>
                <w:kern w:val="0"/>
                <w:sz w:val="22"/>
                <w:szCs w:val="22"/>
                <w:lang w:val="en-CA" w:eastAsia="zh-CN" w:bidi="ar"/>
              </w:rPr>
              <w:t>A</w:t>
            </w:r>
            <w:r>
              <w:rPr>
                <w:rFonts w:hint="default" w:ascii="Calibri" w:hAnsi="Calibri" w:eastAsia="Calibri" w:cs="Calibri"/>
                <w:color w:val="4A4A4A"/>
                <w:kern w:val="0"/>
                <w:sz w:val="22"/>
                <w:szCs w:val="22"/>
                <w:vertAlign w:val="subscript"/>
                <w:lang w:val="en-CA" w:eastAsia="zh-CN" w:bidi="ar"/>
              </w:rPr>
              <w:t xml:space="preserve">3 </w:t>
            </w:r>
            <w:r>
              <w:rPr>
                <w:rFonts w:hint="default" w:ascii="Calibri" w:hAnsi="Calibri" w:eastAsia="Calibri" w:cs="Calibri"/>
                <w:color w:val="4A4A4A"/>
                <w:kern w:val="0"/>
                <w:sz w:val="22"/>
                <w:szCs w:val="22"/>
                <w:vertAlign w:val="baseline"/>
                <w:lang w:val="en-CA" w:eastAsia="zh-CN" w:bidi="ar"/>
              </w:rPr>
              <w:t xml:space="preserve">Number of missing persons attributed to disasters </w:t>
            </w:r>
          </w:p>
          <w:p>
            <w:pPr>
              <w:keepNext w:val="0"/>
              <w:keepLines w:val="0"/>
              <w:widowControl/>
              <w:suppressLineNumbers w:val="0"/>
              <w:spacing w:before="0" w:beforeAutospacing="0" w:after="8" w:afterAutospacing="0" w:line="266" w:lineRule="auto"/>
              <w:ind w:left="-5" w:right="0" w:hanging="10"/>
              <w:jc w:val="left"/>
              <w:rPr>
                <w:rFonts w:hint="default" w:ascii="Calibri" w:hAnsi="Calibri" w:eastAsia="Calibri" w:cs="Calibri"/>
                <w:color w:val="4A4A4A"/>
                <w:kern w:val="0"/>
                <w:sz w:val="22"/>
                <w:szCs w:val="22"/>
                <w:vertAlign w:val="baseline"/>
                <w:lang w:val="en-CA" w:eastAsia="zh-CN" w:bidi="ar"/>
              </w:rPr>
            </w:pPr>
            <w:r>
              <w:rPr>
                <w:rFonts w:hint="default" w:ascii="Calibri" w:hAnsi="Calibri" w:eastAsia="Calibri" w:cs="Calibri"/>
                <w:color w:val="4A4A4A"/>
                <w:kern w:val="0"/>
                <w:sz w:val="22"/>
                <w:szCs w:val="22"/>
                <w:vertAlign w:val="baseline"/>
                <w:lang w:val="en-CA" w:eastAsia="zh-CN" w:bidi="ar"/>
              </w:rPr>
              <w:t>B</w:t>
            </w:r>
            <w:r>
              <w:rPr>
                <w:rFonts w:hint="default" w:ascii="Calibri" w:hAnsi="Calibri" w:eastAsia="Calibri" w:cs="Calibri"/>
                <w:color w:val="4A4A4A"/>
                <w:kern w:val="0"/>
                <w:sz w:val="22"/>
                <w:szCs w:val="22"/>
                <w:vertAlign w:val="subscript"/>
                <w:lang w:val="en-CA" w:eastAsia="zh-CN" w:bidi="ar"/>
              </w:rPr>
              <w:t>1</w:t>
            </w:r>
            <w:r>
              <w:rPr>
                <w:rFonts w:hint="default" w:ascii="Calibri" w:hAnsi="Calibri" w:eastAsia="Calibri" w:cs="Calibri"/>
                <w:color w:val="4A4A4A"/>
                <w:kern w:val="0"/>
                <w:sz w:val="22"/>
                <w:szCs w:val="22"/>
                <w:vertAlign w:val="baseline"/>
                <w:lang w:val="en-CA" w:eastAsia="zh-CN" w:bidi="ar"/>
              </w:rPr>
              <w:t xml:space="preserve"> Number of directly affected people attributed to disasters</w:t>
            </w:r>
          </w:p>
          <w:p>
            <w:pPr>
              <w:keepNext w:val="0"/>
              <w:keepLines w:val="0"/>
              <w:widowControl/>
              <w:suppressLineNumbers w:val="0"/>
              <w:spacing w:before="0" w:beforeAutospacing="0" w:after="8" w:afterAutospacing="0" w:line="266" w:lineRule="auto"/>
              <w:ind w:left="-5" w:right="3770" w:hanging="10"/>
              <w:jc w:val="left"/>
              <w:rPr>
                <w:rFonts w:hint="default" w:ascii="Calibri" w:hAnsi="Calibri" w:cs="Calibri"/>
                <w:sz w:val="22"/>
                <w:szCs w:val="22"/>
                <w:lang w:val="en-US"/>
              </w:rPr>
            </w:pPr>
            <w:r>
              <w:rPr>
                <w:rFonts w:hint="default" w:ascii="Calibri" w:hAnsi="Calibri" w:eastAsia="Calibri" w:cs="Calibri"/>
                <w:color w:val="4A4A4A"/>
                <w:kern w:val="0"/>
                <w:sz w:val="22"/>
                <w:szCs w:val="22"/>
                <w:lang w:val="en-US" w:eastAsia="zh-CN" w:bidi="ar"/>
              </w:rPr>
              <w:t xml:space="preserve"> </w:t>
            </w:r>
          </w:p>
          <w:p>
            <w:pPr>
              <w:keepNext w:val="0"/>
              <w:keepLines w:val="0"/>
              <w:widowControl/>
              <w:suppressLineNumbers w:val="0"/>
              <w:spacing w:before="0" w:beforeAutospacing="0" w:after="8" w:afterAutospacing="0" w:line="266" w:lineRule="auto"/>
              <w:ind w:left="0" w:right="0"/>
              <w:jc w:val="left"/>
              <w:rPr>
                <w:rFonts w:hint="default"/>
              </w:rPr>
            </w:pPr>
            <w:r>
              <w:rPr>
                <w:rFonts w:hint="default" w:ascii="Calibri" w:hAnsi="Calibri" w:eastAsia="Calibri" w:cs="Calibri"/>
                <w:color w:val="4A4A4A"/>
                <w:kern w:val="0"/>
                <w:sz w:val="22"/>
                <w:szCs w:val="22"/>
                <w:lang w:val="en-US" w:eastAsia="zh-CN" w:bidi="ar"/>
              </w:rPr>
              <w:t xml:space="preserve">* Detailed methodologies can be found in the Technical Guidance (see below the Reference section) </w:t>
            </w: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6" w:edGrp="everyone" w:colFirst="1" w:colLast="1"/>
            <w:r>
              <w:rPr>
                <w:rFonts w:hint="default"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7" w:edGrp="everyone" w:colFirst="1" w:colLast="1"/>
            <w:r>
              <w:rPr>
                <w:rFonts w:hint="default"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8" w:edGrp="everyone" w:colFirst="1" w:colLast="1"/>
            <w:r>
              <w:rPr>
                <w:rFonts w:hint="default"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39" w:edGrp="everyone" w:colFirst="1" w:colLast="1"/>
            <w:r>
              <w:rPr>
                <w:rFonts w:hint="default"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0" w:edGrp="everyone" w:colFirst="1" w:colLast="1"/>
            <w:r>
              <w:rPr>
                <w:rFonts w:hint="default"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1" w:edGrp="everyone" w:colFirst="1" w:colLast="1"/>
            <w:r>
              <w:rPr>
                <w:rFonts w:hint="default"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2" w:edGrp="everyone" w:colFirst="1" w:colLast="1"/>
            <w:r>
              <w:rPr>
                <w:rFonts w:hint="default"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160" w:right="0"/>
              <w:rPr>
                <w:rFonts w:hint="default" w:ascii="Calibri" w:hAnsi="Calibri" w:eastAsia="Times New Roman" w:cs="Calibri"/>
                <w:color w:val="000000"/>
              </w:rPr>
            </w:pPr>
            <w:permStart w:id="43" w:edGrp="everyone" w:colFirst="1" w:colLast="1"/>
            <w:r>
              <w:rPr>
                <w:rFonts w:hint="default"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ascii="Times New Roman" w:hAnsi="Times New Roman"/>
                <w:sz w:val="32"/>
                <w:szCs w:val="32"/>
              </w:rPr>
            </w:pPr>
            <w:bookmarkStart w:id="25" w:name="_Toc36812689"/>
            <w:bookmarkStart w:id="26" w:name="_Toc36812576"/>
            <w:bookmarkStart w:id="27" w:name="_Toc36655613"/>
            <w:bookmarkStart w:id="28" w:name="_Toc36813076"/>
            <w:bookmarkStart w:id="29" w:name="_Toc37932748"/>
            <w:r>
              <w:rPr>
                <w:rFonts w:hint="default"/>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4" w:edGrp="everyone" w:colFirst="1" w:colLast="1"/>
            <w:r>
              <w:rPr>
                <w:rFonts w:hint="default"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5" w:edGrp="everyone" w:colFirst="1" w:colLast="1"/>
            <w:r>
              <w:rPr>
                <w:rFonts w:hint="default"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widowControl/>
              <w:suppressLineNumbers w:val="0"/>
              <w:spacing w:beforeAutospacing="0" w:afterAutospacing="0"/>
              <w:ind w:left="0" w:right="0"/>
              <w:rPr>
                <w:rFonts w:hint="default"/>
                <w:sz w:val="32"/>
                <w:szCs w:val="32"/>
              </w:rPr>
            </w:pPr>
            <w:r>
              <w:rPr>
                <w:rFonts w:hint="default"/>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keepNext w:val="0"/>
              <w:keepLines w:val="0"/>
              <w:widowControl/>
              <w:suppressLineNumbers w:val="0"/>
              <w:spacing w:before="0" w:beforeAutospacing="0" w:after="0" w:afterAutospacing="0" w:line="240" w:lineRule="auto"/>
              <w:ind w:left="0" w:right="-3475"/>
              <w:rPr>
                <w:rFonts w:hint="default" w:ascii="Calibri" w:hAnsi="Calibri" w:eastAsia="Times New Roman" w:cs="Calibri"/>
                <w:color w:val="000000"/>
              </w:rPr>
            </w:pPr>
            <w:r>
              <w:rPr>
                <w:rFonts w:hint="default"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ermStart w:id="46" w:edGrp="everyone" w:colFirst="1" w:colLast="1"/>
            <w:r>
              <w:rPr>
                <w:rFonts w:hint="default"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keepNext w:val="0"/>
              <w:keepLines w:val="0"/>
              <w:widowControl/>
              <w:suppressLineNumbers w:val="0"/>
              <w:spacing w:before="0" w:beforeAutospacing="0" w:afterAutospacing="0"/>
              <w:ind w:left="0" w:right="0"/>
              <w:rPr>
                <w:rFonts w:hint="default"/>
              </w:rPr>
            </w:pPr>
            <w:r>
              <w:rPr>
                <w:rFonts w:hint="default"/>
              </w:rPr>
              <w:t>Official SDG Metadata URL: https://unstats.un.org/sdgs/</w:t>
            </w:r>
            <w:bookmarkStart w:id="38" w:name="_GoBack"/>
            <w:bookmarkEnd w:id="38"/>
            <w:r>
              <w:rPr>
                <w:rFonts w:hint="default"/>
              </w:rPr>
              <w:t>metadata/files/Metadata-01-05-01.pdf</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1"/>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1"/>
        <w:rPr>
          <w:sz w:val="28"/>
          <w:szCs w:val="28"/>
        </w:rPr>
      </w:pPr>
      <w:bookmarkStart w:id="35" w:name="_Toc37932753"/>
      <w:bookmarkStart w:id="36" w:name="Mapping"/>
      <w:r>
        <w:rPr>
          <w:sz w:val="28"/>
          <w:szCs w:val="28"/>
        </w:rPr>
        <w:t>B. Mapping of SDMX Detailed Concepts to IAEG-SDG File Format</w:t>
      </w:r>
      <w:bookmarkEnd w:id="35"/>
    </w:p>
    <w:bookmarkEnd w:id="36"/>
    <w:p>
      <w:pPr>
        <w:pStyle w:val="34"/>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4"/>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Institutional information</w:t>
            </w:r>
            <w:r>
              <w:rPr>
                <w:rFonts w:hint="default" w:ascii="Calibri" w:hAnsi="Calibri" w:eastAsia="Times New Roman" w:cs="Calibri"/>
              </w:rPr>
              <w:br w:type="textWrapping"/>
            </w:r>
            <w:r>
              <w:rPr>
                <w:rFonts w:hint="default"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Concepts and definitions</w:t>
            </w:r>
            <w:r>
              <w:rPr>
                <w:rFonts w:hint="default" w:ascii="Calibri" w:hAnsi="Calibri" w:eastAsia="Times New Roman" w:cs="Calibri"/>
              </w:rPr>
              <w:br w:type="textWrapping"/>
            </w:r>
            <w:r>
              <w:rPr>
                <w:rFonts w:hint="default" w:ascii="Calibri" w:hAnsi="Calibri" w:eastAsia="Times New Roman" w:cs="Calibri"/>
              </w:rPr>
              <w:t>Definition</w:t>
            </w:r>
            <w:r>
              <w:rPr>
                <w:rFonts w:hint="default" w:ascii="Calibri" w:hAnsi="Calibri" w:eastAsia="Times New Roman" w:cs="Calibri"/>
              </w:rPr>
              <w:br w:type="textWrapping"/>
            </w:r>
            <w:r>
              <w:rPr>
                <w:rFonts w:hint="default"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sources</w:t>
            </w:r>
            <w:r>
              <w:rPr>
                <w:rFonts w:hint="default" w:ascii="Calibri" w:hAnsi="Calibri" w:eastAsia="Times New Roman" w:cs="Calibri"/>
              </w:rPr>
              <w:br w:type="textWrapping"/>
            </w:r>
            <w:r>
              <w:rPr>
                <w:rFonts w:hint="default"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Calendar</w:t>
            </w:r>
            <w:r>
              <w:rPr>
                <w:rFonts w:hint="default" w:ascii="Calibri" w:hAnsi="Calibri" w:eastAsia="Times New Roman" w:cs="Calibri"/>
              </w:rPr>
              <w:br w:type="textWrapping"/>
            </w:r>
            <w:r>
              <w:rPr>
                <w:rFonts w:hint="default"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Methodology</w:t>
            </w:r>
            <w:r>
              <w:rPr>
                <w:rFonts w:hint="default" w:ascii="Calibri" w:hAnsi="Calibri" w:eastAsia="Times New Roman" w:cs="Calibri"/>
              </w:rPr>
              <w:br w:type="textWrapping"/>
            </w:r>
            <w:r>
              <w:rPr>
                <w:rFonts w:hint="default"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Treatment of missing values</w:t>
            </w:r>
            <w:r>
              <w:rPr>
                <w:rFonts w:hint="default" w:ascii="Calibri" w:hAnsi="Calibri" w:eastAsia="Times New Roman" w:cs="Calibri"/>
              </w:rPr>
              <w:br w:type="textWrapping"/>
            </w:r>
            <w:r>
              <w:rPr>
                <w:rFonts w:hint="default" w:ascii="Calibri" w:hAnsi="Calibri" w:eastAsia="Times New Roman" w:cs="Calibri"/>
              </w:rPr>
              <w:t xml:space="preserve">* At country level: </w:t>
            </w:r>
            <w:r>
              <w:rPr>
                <w:rFonts w:hint="default" w:ascii="Calibri" w:hAnsi="Calibri" w:eastAsia="Times New Roman" w:cs="Calibri"/>
              </w:rPr>
              <w:br w:type="textWrapping"/>
            </w:r>
            <w:r>
              <w:rPr>
                <w:rFonts w:hint="default"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Data availability</w:t>
            </w:r>
            <w:r>
              <w:rPr>
                <w:rFonts w:hint="default" w:ascii="Calibri" w:hAnsi="Calibri" w:eastAsia="Times New Roman" w:cs="Calibri"/>
              </w:rPr>
              <w:br w:type="textWrapping"/>
            </w:r>
            <w:r>
              <w:rPr>
                <w:rFonts w:hint="default"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References</w:t>
            </w:r>
            <w:r>
              <w:rPr>
                <w:rFonts w:hint="default" w:ascii="Calibri" w:hAnsi="Calibri" w:eastAsia="Times New Roman" w:cs="Calibri"/>
              </w:rPr>
              <w:br w:type="textWrapping"/>
            </w:r>
            <w:r>
              <w:rPr>
                <w:rFonts w:hint="default" w:ascii="Calibri" w:hAnsi="Calibri" w:eastAsia="Times New Roman" w:cs="Calibri"/>
              </w:rPr>
              <w:t>URL</w:t>
            </w:r>
            <w:r>
              <w:rPr>
                <w:rFonts w:hint="default" w:ascii="Calibri" w:hAnsi="Calibri" w:eastAsia="Times New Roman" w:cs="Calibri"/>
              </w:rPr>
              <w:br w:type="textWrapping"/>
            </w:r>
            <w:r>
              <w:rPr>
                <w:rFonts w:hint="default" w:ascii="Calibri" w:hAnsi="Calibri" w:eastAsia="Times New Roman" w:cs="Calibri"/>
              </w:rPr>
              <w:t>References</w:t>
            </w:r>
          </w:p>
        </w:tc>
      </w:tr>
    </w:tbl>
    <w:p>
      <w:pPr>
        <w:pStyle w:val="34"/>
      </w:pPr>
    </w:p>
    <w:p>
      <w:pPr>
        <w:pStyle w:val="31"/>
        <w:rPr>
          <w:sz w:val="28"/>
          <w:szCs w:val="28"/>
        </w:rPr>
      </w:pPr>
      <w:bookmarkStart w:id="37" w:name="_Toc37932754"/>
      <w:r>
        <w:rPr>
          <w:sz w:val="28"/>
          <w:szCs w:val="28"/>
        </w:rPr>
        <w:t>C. Mapping of IAEG-SDG File Format to SDMX Detailed Concepts</w:t>
      </w:r>
      <w:bookmarkEnd w:id="37"/>
    </w:p>
    <w:p>
      <w:pPr>
        <w:pStyle w:val="34"/>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4"/>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IAEG-SDG Headers and Subheaders</w:t>
            </w:r>
          </w:p>
        </w:tc>
        <w:tc>
          <w:tcPr>
            <w:tcW w:w="4410" w:type="dxa"/>
            <w:shd w:val="clear" w:color="auto" w:fill="BDD6EE" w:themeFill="accent1" w:themeFillTint="66"/>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Last updated: [DATE]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Goal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 xml:space="preserve">Target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Indicator</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Institutional information</w:t>
            </w:r>
            <w:r>
              <w:rPr>
                <w:rFonts w:hint="default" w:ascii="Calibri" w:hAnsi="Calibri" w:eastAsia="Times New Roman" w:cs="Calibri"/>
                <w:color w:val="000000"/>
              </w:rPr>
              <w:br w:type="textWrapping"/>
            </w:r>
            <w:r>
              <w:rPr>
                <w:rFonts w:hint="default" w:ascii="Calibri" w:hAnsi="Calibri" w:eastAsia="Times New Roman" w:cs="Calibri"/>
                <w:color w:val="000000"/>
              </w:rPr>
              <w:t>Organization(s)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Concepts and definitions</w:t>
            </w:r>
            <w:r>
              <w:rPr>
                <w:rFonts w:hint="default" w:ascii="Calibri" w:hAnsi="Calibri" w:eastAsia="Times New Roman" w:cs="Calibri"/>
                <w:color w:val="000000"/>
              </w:rPr>
              <w:br w:type="textWrapping"/>
            </w:r>
            <w:r>
              <w:rPr>
                <w:rFonts w:hint="default" w:ascii="Calibri" w:hAnsi="Calibri" w:eastAsia="Times New Roman" w:cs="Calibri"/>
                <w:color w:val="000000"/>
              </w:rPr>
              <w:t>Definition</w:t>
            </w:r>
            <w:r>
              <w:rPr>
                <w:rFonts w:hint="default" w:ascii="Calibri" w:hAnsi="Calibri" w:eastAsia="Times New Roman" w:cs="Calibri"/>
                <w:color w:val="000000"/>
              </w:rPr>
              <w:br w:type="textWrapping"/>
            </w:r>
            <w:r>
              <w:rPr>
                <w:rFonts w:hint="default" w:ascii="Calibri" w:hAnsi="Calibri" w:eastAsia="Times New Roman" w:cs="Calibri"/>
                <w:color w:val="000000"/>
              </w:rPr>
              <w:t>Concepts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Rationale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Comments and limitations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Methodology</w:t>
            </w:r>
            <w:r>
              <w:rPr>
                <w:rFonts w:hint="default" w:ascii="Calibri" w:hAnsi="Calibri" w:eastAsia="Times New Roman" w:cs="Calibri"/>
                <w:color w:val="000000"/>
              </w:rPr>
              <w:br w:type="textWrapping"/>
            </w:r>
            <w:r>
              <w:rPr>
                <w:rFonts w:hint="default" w:ascii="Calibri" w:hAnsi="Calibri" w:eastAsia="Times New Roman" w:cs="Calibri"/>
                <w:color w:val="000000"/>
              </w:rPr>
              <w:t>Computation method</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Treatment of missing values</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country level: </w:t>
            </w:r>
            <w:r>
              <w:rPr>
                <w:rFonts w:hint="default" w:ascii="Calibri" w:hAnsi="Calibri" w:eastAsia="Times New Roman" w:cs="Calibri"/>
                <w:color w:val="000000"/>
              </w:rPr>
              <w:br w:type="textWrapping"/>
            </w:r>
            <w:r>
              <w:rPr>
                <w:rFonts w:hint="default" w:ascii="Calibri" w:hAnsi="Calibri" w:eastAsia="Times New Roman" w:cs="Calibri"/>
                <w:color w:val="000000"/>
              </w:rPr>
              <w:t xml:space="preserve">* At regional or global levels: </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Regional aggregates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Sources of discrepancies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Quality assurance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sources</w:t>
            </w:r>
            <w:r>
              <w:rPr>
                <w:rFonts w:hint="default" w:ascii="Calibri" w:hAnsi="Calibri" w:eastAsia="Times New Roman" w:cs="Calibri"/>
                <w:color w:val="000000"/>
              </w:rPr>
              <w:br w:type="textWrapping"/>
            </w:r>
            <w:r>
              <w:rPr>
                <w:rFonts w:hint="default" w:ascii="Calibri" w:hAnsi="Calibri" w:eastAsia="Times New Roman" w:cs="Calibri"/>
                <w:color w:val="000000"/>
              </w:rPr>
              <w:t>Description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Collection process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availability</w:t>
            </w:r>
            <w:r>
              <w:rPr>
                <w:rFonts w:hint="default" w:ascii="Calibri" w:hAnsi="Calibri" w:eastAsia="Times New Roman" w:cs="Calibri"/>
                <w:color w:val="000000"/>
              </w:rPr>
              <w:br w:type="textWrapping"/>
            </w:r>
            <w:r>
              <w:rPr>
                <w:rFonts w:hint="default" w:ascii="Calibri" w:hAnsi="Calibri" w:eastAsia="Times New Roman" w:cs="Calibri"/>
                <w:color w:val="000000"/>
              </w:rPr>
              <w:t>Disaggregation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Calendar</w:t>
            </w:r>
            <w:r>
              <w:rPr>
                <w:rFonts w:hint="default" w:ascii="Calibri" w:hAnsi="Calibri" w:eastAsia="Times New Roman" w:cs="Calibri"/>
                <w:color w:val="000000"/>
              </w:rPr>
              <w:br w:type="textWrapping"/>
            </w:r>
            <w:r>
              <w:rPr>
                <w:rFonts w:hint="default" w:ascii="Calibri" w:hAnsi="Calibri" w:eastAsia="Times New Roman" w:cs="Calibri"/>
                <w:color w:val="000000"/>
              </w:rPr>
              <w:t>Data collection</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release</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providers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Data compilers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References</w:t>
            </w:r>
            <w:r>
              <w:rPr>
                <w:rFonts w:hint="default" w:ascii="Calibri" w:hAnsi="Calibri" w:eastAsia="Times New Roman" w:cs="Calibri"/>
                <w:color w:val="000000"/>
              </w:rPr>
              <w:br w:type="textWrapping"/>
            </w:r>
            <w:r>
              <w:rPr>
                <w:rFonts w:hint="default" w:ascii="Calibri" w:hAnsi="Calibri" w:eastAsia="Times New Roman" w:cs="Calibri"/>
                <w:color w:val="000000"/>
              </w:rPr>
              <w:t>URL</w:t>
            </w:r>
            <w:r>
              <w:rPr>
                <w:rFonts w:hint="default" w:ascii="Calibri" w:hAnsi="Calibri" w:eastAsia="Times New Roman" w:cs="Calibri"/>
                <w:color w:val="000000"/>
              </w:rPr>
              <w:br w:type="textWrapping"/>
            </w:r>
            <w:r>
              <w:rPr>
                <w:rFonts w:hint="default" w:ascii="Calibri" w:hAnsi="Calibri" w:eastAsia="Times New Roman" w:cs="Calibri"/>
                <w:color w:val="000000"/>
              </w:rPr>
              <w:t>References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color w:val="000000"/>
              </w:rPr>
            </w:pPr>
            <w:r>
              <w:rPr>
                <w:rFonts w:hint="default"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Related indicators</w:t>
            </w:r>
          </w:p>
        </w:tc>
        <w:tc>
          <w:tcPr>
            <w:tcW w:w="4410" w:type="dxa"/>
            <w:shd w:val="clear" w:color="auto" w:fill="E7E6E6" w:themeFill="background2"/>
          </w:tcPr>
          <w:p>
            <w:pPr>
              <w:keepNext w:val="0"/>
              <w:keepLines w:val="0"/>
              <w:widowControl/>
              <w:suppressLineNumbers w:val="0"/>
              <w:spacing w:before="0" w:beforeAutospacing="0" w:after="0" w:afterAutospacing="0" w:line="240" w:lineRule="auto"/>
              <w:ind w:left="0" w:right="0"/>
              <w:rPr>
                <w:rFonts w:hint="default" w:ascii="Calibri" w:hAnsi="Calibri" w:eastAsia="Times New Roman" w:cs="Calibri"/>
              </w:rPr>
            </w:pPr>
            <w:r>
              <w:rPr>
                <w:rFonts w:hint="default" w:ascii="Calibri" w:hAnsi="Calibri" w:eastAsia="Times New Roman" w:cs="Calibri"/>
              </w:rPr>
              <w:t>0.f. Related indicators</w:t>
            </w:r>
          </w:p>
        </w:tc>
      </w:tr>
      <w:bookmarkEnd w:id="33"/>
    </w:tbl>
    <w:p>
      <w:pPr>
        <w:pStyle w:val="34"/>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86"/>
    <w:family w:val="auto"/>
    <w:pitch w:val="default"/>
    <w:sig w:usb0="E0002EFF" w:usb1="C000785B" w:usb2="00000009" w:usb3="00000000" w:csb0="400001FF" w:csb1="FFFF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Cambria Math">
    <w:panose1 w:val="02040503050406030204"/>
    <w:charset w:val="00"/>
    <w:family w:val="auto"/>
    <w:pitch w:val="default"/>
    <w:sig w:usb0="E00006FF" w:usb1="420024FF" w:usb2="02000000" w:usb3="00000000" w:csb0="2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3"/>
          <w:jc w:val="right"/>
        </w:pPr>
        <w:r>
          <w:fldChar w:fldCharType="begin"/>
        </w:r>
        <w:r>
          <w:instrText xml:space="preserve"> PAGE   \* MERGEFORMAT </w:instrText>
        </w:r>
        <w:r>
          <w:fldChar w:fldCharType="separate"/>
        </w:r>
        <w:r>
          <w:t>2</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16855"/>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C2237"/>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01CA52A3"/>
    <w:rsid w:val="1B927A7F"/>
    <w:rsid w:val="1D436CDE"/>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5"/>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0"/>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uiPriority w:val="99"/>
    <w:pPr>
      <w:keepNext w:val="0"/>
      <w:keepLines w:val="0"/>
      <w:widowControl/>
      <w:suppressLineNumbers w:val="0"/>
      <w:spacing w:before="0" w:beforeAutospacing="0" w:after="160" w:afterAutospacing="0" w:line="256" w:lineRule="auto"/>
      <w:ind w:left="0" w:right="0"/>
    </w:pPr>
    <w:rPr>
      <w:rFonts w:hint="default" w:ascii="Calibri" w:hAnsi="Calibri" w:cs="Times New Roman"/>
      <w:sz w:val="22"/>
      <w:szCs w:val="22"/>
    </w:rPr>
    <w:tblPr>
      <w:tblCellMar>
        <w:top w:w="0" w:type="dxa"/>
        <w:left w:w="108" w:type="dxa"/>
        <w:bottom w:w="0" w:type="dxa"/>
        <w:right w:w="108" w:type="dxa"/>
      </w:tblCellMar>
    </w:tblPr>
  </w:style>
  <w:style w:type="paragraph" w:styleId="6">
    <w:name w:val="Balloon Text"/>
    <w:basedOn w:val="1"/>
    <w:link w:val="43"/>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6"/>
    <w:semiHidden/>
    <w:unhideWhenUsed/>
    <w:qFormat/>
    <w:uiPriority w:val="99"/>
    <w:pPr>
      <w:spacing w:line="240" w:lineRule="auto"/>
    </w:pPr>
    <w:rPr>
      <w:sz w:val="20"/>
      <w:szCs w:val="20"/>
    </w:rPr>
  </w:style>
  <w:style w:type="paragraph" w:styleId="9">
    <w:name w:val="annotation subject"/>
    <w:basedOn w:val="8"/>
    <w:next w:val="8"/>
    <w:link w:val="47"/>
    <w:semiHidden/>
    <w:unhideWhenUsed/>
    <w:qFormat/>
    <w:uiPriority w:val="99"/>
    <w:rPr>
      <w:b/>
      <w:bCs/>
    </w:rPr>
  </w:style>
  <w:style w:type="character" w:styleId="10">
    <w:name w:val="endnote reference"/>
    <w:basedOn w:val="4"/>
    <w:semiHidden/>
    <w:unhideWhenUsed/>
    <w:uiPriority w:val="99"/>
    <w:rPr>
      <w:vertAlign w:val="superscript"/>
    </w:rPr>
  </w:style>
  <w:style w:type="paragraph" w:styleId="11">
    <w:name w:val="endnote text"/>
    <w:basedOn w:val="1"/>
    <w:link w:val="49"/>
    <w:unhideWhenUsed/>
    <w:qFormat/>
    <w:uiPriority w:val="99"/>
    <w:pPr>
      <w:spacing w:after="0" w:line="240" w:lineRule="auto"/>
    </w:pPr>
    <w:rPr>
      <w:sz w:val="20"/>
      <w:szCs w:val="20"/>
    </w:rPr>
  </w:style>
  <w:style w:type="character" w:styleId="12">
    <w:name w:val="FollowedHyperlink"/>
    <w:basedOn w:val="4"/>
    <w:semiHidden/>
    <w:unhideWhenUsed/>
    <w:uiPriority w:val="99"/>
    <w:rPr>
      <w:color w:val="954F72" w:themeColor="followedHyperlink"/>
      <w:u w:val="single"/>
      <w14:textFill>
        <w14:solidFill>
          <w14:schemeClr w14:val="folHlink"/>
        </w14:solidFill>
      </w14:textFill>
    </w:rPr>
  </w:style>
  <w:style w:type="paragraph" w:styleId="13">
    <w:name w:val="footer"/>
    <w:basedOn w:val="1"/>
    <w:link w:val="44"/>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1"/>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3"/>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uiPriority w:val="99"/>
    <w:rPr>
      <w:color w:val="0563C1" w:themeColor="hyperlink"/>
      <w:u w:val="single"/>
      <w14:textFill>
        <w14:solidFill>
          <w14:schemeClr w14:val="hlink"/>
        </w14:solidFill>
      </w14:textFill>
    </w:rPr>
  </w:style>
  <w:style w:type="paragraph" w:styleId="19">
    <w:name w:val="Subtitle"/>
    <w:basedOn w:val="1"/>
    <w:next w:val="1"/>
    <w:link w:val="28"/>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0">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1">
    <w:name w:val="Title"/>
    <w:basedOn w:val="1"/>
    <w:next w:val="1"/>
    <w:link w:val="27"/>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2">
    <w:name w:val="toc 1"/>
    <w:basedOn w:val="1"/>
    <w:next w:val="1"/>
    <w:unhideWhenUsed/>
    <w:qFormat/>
    <w:uiPriority w:val="39"/>
    <w:pPr>
      <w:spacing w:after="100"/>
    </w:pPr>
  </w:style>
  <w:style w:type="paragraph" w:styleId="23">
    <w:name w:val="toc 2"/>
    <w:basedOn w:val="1"/>
    <w:next w:val="1"/>
    <w:unhideWhenUsed/>
    <w:qFormat/>
    <w:uiPriority w:val="39"/>
    <w:pPr>
      <w:spacing w:after="100"/>
      <w:ind w:left="220"/>
    </w:pPr>
  </w:style>
  <w:style w:type="paragraph" w:styleId="24">
    <w:name w:val="toc 3"/>
    <w:basedOn w:val="1"/>
    <w:next w:val="1"/>
    <w:unhideWhenUsed/>
    <w:uiPriority w:val="39"/>
    <w:pPr>
      <w:spacing w:after="100"/>
      <w:ind w:left="440"/>
    </w:pPr>
  </w:style>
  <w:style w:type="character" w:customStyle="1" w:styleId="25">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6">
    <w:name w:val="TOC Heading"/>
    <w:basedOn w:val="2"/>
    <w:next w:val="1"/>
    <w:unhideWhenUsed/>
    <w:qFormat/>
    <w:uiPriority w:val="39"/>
    <w:pPr>
      <w:outlineLvl w:val="9"/>
    </w:pPr>
  </w:style>
  <w:style w:type="character" w:customStyle="1" w:styleId="27">
    <w:name w:val="Title Char"/>
    <w:basedOn w:val="4"/>
    <w:link w:val="21"/>
    <w:uiPriority w:val="10"/>
    <w:rPr>
      <w:rFonts w:asciiTheme="majorHAnsi" w:hAnsiTheme="majorHAnsi" w:eastAsiaTheme="majorEastAsia" w:cstheme="majorBidi"/>
      <w:spacing w:val="-10"/>
      <w:kern w:val="28"/>
      <w:sz w:val="56"/>
      <w:szCs w:val="56"/>
    </w:rPr>
  </w:style>
  <w:style w:type="character" w:customStyle="1" w:styleId="28">
    <w:name w:val="Subtitle Char"/>
    <w:basedOn w:val="4"/>
    <w:link w:val="1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29">
    <w:name w:val="M.G+T.Header"/>
    <w:basedOn w:val="1"/>
    <w:link w:val="30"/>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0">
    <w:name w:val="M.G+T.Header Char"/>
    <w:basedOn w:val="4"/>
    <w:link w:val="29"/>
    <w:uiPriority w:val="0"/>
    <w:rPr>
      <w:rFonts w:eastAsia="Times New Roman" w:cs="Times New Roman"/>
      <w:color w:val="333333"/>
      <w:sz w:val="21"/>
      <w:szCs w:val="21"/>
      <w:shd w:val="clear" w:color="auto" w:fill="F5F5F5"/>
      <w:lang w:val="en-GB" w:eastAsia="en-GB"/>
    </w:rPr>
  </w:style>
  <w:style w:type="paragraph" w:customStyle="1" w:styleId="31">
    <w:name w:val="M.Ind.Header"/>
    <w:basedOn w:val="1"/>
    <w:link w:val="32"/>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2">
    <w:name w:val="M.Ind.Header Char"/>
    <w:basedOn w:val="4"/>
    <w:link w:val="31"/>
    <w:qFormat/>
    <w:uiPriority w:val="0"/>
    <w:rPr>
      <w:rFonts w:eastAsia="Times New Roman" w:cs="Times New Roman"/>
      <w:color w:val="1C75BC"/>
      <w:shd w:val="clear" w:color="auto" w:fill="F5F5F5"/>
      <w:lang w:val="en-GB" w:eastAsia="en-GB"/>
    </w:rPr>
  </w:style>
  <w:style w:type="character" w:customStyle="1" w:styleId="33">
    <w:name w:val="Header Char"/>
    <w:basedOn w:val="4"/>
    <w:link w:val="17"/>
    <w:qFormat/>
    <w:uiPriority w:val="99"/>
    <w:rPr>
      <w:rFonts w:eastAsiaTheme="minorEastAsia"/>
      <w:lang w:val="en-GB" w:eastAsia="zh-CN"/>
    </w:rPr>
  </w:style>
  <w:style w:type="paragraph" w:customStyle="1" w:styleId="34">
    <w:name w:val="M.Text"/>
    <w:basedOn w:val="1"/>
    <w:link w:val="35"/>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5">
    <w:name w:val="M.Text Char"/>
    <w:basedOn w:val="4"/>
    <w:link w:val="34"/>
    <w:uiPriority w:val="0"/>
    <w:rPr>
      <w:rFonts w:eastAsia="Times New Roman" w:cs="Times New Roman"/>
      <w:color w:val="4A4A4A"/>
      <w:sz w:val="21"/>
      <w:szCs w:val="21"/>
      <w:shd w:val="clear" w:color="auto" w:fill="FFFFFF"/>
      <w:lang w:val="en-GB" w:eastAsia="en-GB"/>
    </w:rPr>
  </w:style>
  <w:style w:type="table" w:customStyle="1" w:styleId="36">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7">
    <w:name w:val="M.Header"/>
    <w:basedOn w:val="1"/>
    <w:link w:val="38"/>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8">
    <w:name w:val="M.Header Char"/>
    <w:basedOn w:val="4"/>
    <w:link w:val="37"/>
    <w:qFormat/>
    <w:uiPriority w:val="0"/>
    <w:rPr>
      <w:rFonts w:eastAsia="Times New Roman" w:cs="Times New Roman"/>
      <w:color w:val="1C75BC"/>
      <w:sz w:val="36"/>
      <w:szCs w:val="36"/>
      <w:shd w:val="clear" w:color="auto" w:fill="FFFFFF"/>
      <w:lang w:val="en-GB" w:eastAsia="en-GB"/>
    </w:rPr>
  </w:style>
  <w:style w:type="paragraph" w:customStyle="1" w:styleId="39">
    <w:name w:val="M.Sub.Header"/>
    <w:basedOn w:val="1"/>
    <w:link w:val="40"/>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0">
    <w:name w:val="M.Sub.Header Char"/>
    <w:basedOn w:val="4"/>
    <w:link w:val="39"/>
    <w:qFormat/>
    <w:uiPriority w:val="0"/>
    <w:rPr>
      <w:rFonts w:eastAsia="Times New Roman" w:cs="Times New Roman"/>
      <w:b/>
      <w:bCs/>
      <w:color w:val="4A4A4A"/>
      <w:sz w:val="21"/>
      <w:szCs w:val="21"/>
      <w:shd w:val="clear" w:color="auto" w:fill="FFFFFF"/>
      <w:lang w:val="en-GB" w:eastAsia="en-GB"/>
    </w:rPr>
  </w:style>
  <w:style w:type="character" w:customStyle="1" w:styleId="41">
    <w:name w:val="Footnote Text Char"/>
    <w:basedOn w:val="4"/>
    <w:link w:val="16"/>
    <w:semiHidden/>
    <w:qFormat/>
    <w:uiPriority w:val="99"/>
    <w:rPr>
      <w:rFonts w:eastAsiaTheme="minorEastAsia"/>
      <w:sz w:val="20"/>
      <w:szCs w:val="20"/>
      <w:lang w:val="en-GB" w:eastAsia="zh-CN"/>
    </w:rPr>
  </w:style>
  <w:style w:type="paragraph" w:styleId="42">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3">
    <w:name w:val="Balloon Text Char"/>
    <w:basedOn w:val="4"/>
    <w:link w:val="6"/>
    <w:semiHidden/>
    <w:qFormat/>
    <w:uiPriority w:val="99"/>
    <w:rPr>
      <w:rFonts w:ascii="Segoe UI" w:hAnsi="Segoe UI" w:cs="Segoe UI"/>
      <w:sz w:val="18"/>
      <w:szCs w:val="18"/>
    </w:rPr>
  </w:style>
  <w:style w:type="character" w:customStyle="1" w:styleId="44">
    <w:name w:val="Footer Char"/>
    <w:basedOn w:val="4"/>
    <w:link w:val="13"/>
    <w:qFormat/>
    <w:uiPriority w:val="99"/>
  </w:style>
  <w:style w:type="character" w:customStyle="1" w:styleId="45">
    <w:name w:val="Unresolved Mention1"/>
    <w:basedOn w:val="4"/>
    <w:semiHidden/>
    <w:unhideWhenUsed/>
    <w:qFormat/>
    <w:uiPriority w:val="99"/>
    <w:rPr>
      <w:color w:val="605E5C"/>
      <w:shd w:val="clear" w:color="auto" w:fill="E1DFDD"/>
    </w:rPr>
  </w:style>
  <w:style w:type="character" w:customStyle="1" w:styleId="46">
    <w:name w:val="Comment Text Char"/>
    <w:basedOn w:val="4"/>
    <w:link w:val="8"/>
    <w:semiHidden/>
    <w:qFormat/>
    <w:uiPriority w:val="99"/>
    <w:rPr>
      <w:sz w:val="20"/>
      <w:szCs w:val="20"/>
    </w:rPr>
  </w:style>
  <w:style w:type="character" w:customStyle="1" w:styleId="47">
    <w:name w:val="Comment Subject Char"/>
    <w:basedOn w:val="46"/>
    <w:link w:val="9"/>
    <w:semiHidden/>
    <w:qFormat/>
    <w:uiPriority w:val="99"/>
    <w:rPr>
      <w:b/>
      <w:bCs/>
      <w:sz w:val="20"/>
      <w:szCs w:val="20"/>
    </w:rPr>
  </w:style>
  <w:style w:type="character" w:styleId="48">
    <w:name w:val="Placeholder Text"/>
    <w:basedOn w:val="4"/>
    <w:semiHidden/>
    <w:qFormat/>
    <w:uiPriority w:val="99"/>
    <w:rPr>
      <w:color w:val="808080"/>
    </w:rPr>
  </w:style>
  <w:style w:type="character" w:customStyle="1" w:styleId="49">
    <w:name w:val="Endnote Text Char"/>
    <w:basedOn w:val="4"/>
    <w:link w:val="11"/>
    <w:qFormat/>
    <w:uiPriority w:val="99"/>
    <w:rPr>
      <w:sz w:val="20"/>
      <w:szCs w:val="20"/>
    </w:rPr>
  </w:style>
  <w:style w:type="character" w:customStyle="1" w:styleId="50">
    <w:name w:val="Heading 2 Char"/>
    <w:basedOn w:val="4"/>
    <w:link w:val="3"/>
    <w:uiPriority w:val="9"/>
    <w:rPr>
      <w:rFonts w:asciiTheme="majorHAnsi" w:hAnsiTheme="majorHAnsi" w:eastAsiaTheme="majorEastAsia" w:cstheme="majorBidi"/>
      <w:color w:val="2E75B6" w:themeColor="accent1" w:themeShade="BF"/>
      <w:sz w:val="26"/>
      <w:szCs w:val="26"/>
    </w:rPr>
  </w:style>
  <w:style w:type="paragraph" w:customStyle="1" w:styleId="51">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2">
    <w:name w:val="Unresolved Mention"/>
    <w:basedOn w:val="4"/>
    <w:semiHidden/>
    <w:unhideWhenUsed/>
    <w:qFormat/>
    <w:uiPriority w:val="99"/>
    <w:rPr>
      <w:color w:val="605E5C"/>
      <w:shd w:val="clear" w:color="auto" w:fill="E1DFDD"/>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4.bin"/></Relationships>
</file>

<file path=word/activeX/_rels/activeX3.xml.rels><?xml version="1.0" encoding="UTF-8" standalone="yes"?>
<Relationships xmlns="http://schemas.openxmlformats.org/package/2006/relationships"><Relationship Id="rId1" Type="http://schemas.microsoft.com/office/2006/relationships/activeXControlBinary" Target="activeX1.bin"/></Relationships>
</file>

<file path=word/activeX/_rels/activeX4.xml.rels><?xml version="1.0" encoding="UTF-8" standalone="yes"?>
<Relationships xmlns="http://schemas.openxmlformats.org/package/2006/relationships"><Relationship Id="rId1" Type="http://schemas.microsoft.com/office/2006/relationships/activeXControlBinary" Target="activeX2.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30DCF"/>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EB1C2039-A1E2-420D-9A37-E0F60F4991A9}">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1ED1DF50-B557-40DB-AB1D-53089885C6E0}">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215569</Words>
  <Characters>1228747</Characters>
  <Lines>10239</Lines>
  <Paragraphs>2882</Paragraphs>
  <TotalTime>34</TotalTime>
  <ScaleCrop>false</ScaleCrop>
  <LinksUpToDate>false</LinksUpToDate>
  <CharactersWithSpaces>1441434</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2021-11-04T14:04:00Z</dcterms:created>
  <dc:creator>Fanning, Stephen B (JMD)</dc:creator>
  <cp:lastModifiedBy>Doreen</cp:lastModifiedBy>
  <cp:lastPrinted>2020-04-16T14:23:00Z</cp:lastPrinted>
  <dcterms:modified xsi:type="dcterms:W3CDTF">2022-09-22T10:59:28Z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2D622B1EFF1D48348F8296BB3359939A</vt:lpwstr>
  </property>
</Properties>
</file>