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15.5.1 Red List Index [15.5.1] (ER_RSK_LST)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ascii="Calibri" w:hAnsi="Calibri" w:eastAsia="Times New Roman" w:cs="Times New Roman"/>
                <w:color w:val="333333"/>
                <w:sz w:val="22"/>
                <w:szCs w:val="22"/>
                <w:lang w:eastAsia="en-GB"/>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ascii="Calibri" w:hAnsi="Calibri" w:eastAsia="Times New Roman" w:cs="Times New Roman"/>
                <w:color w:val="333333"/>
                <w:sz w:val="22"/>
                <w:szCs w:val="22"/>
                <w:lang w:eastAsia="en-GB"/>
              </w:rPr>
              <w:t>Target 15.5: Take urgent and significant action to reduce the degradation of natural habitats, halt the loss of biodiversity and, by 2020, protect and prevent the extinction of threatened species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15.5.1: Red List Index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Disaggregations of the Red List Index are also of particular relevance as indicators towards the following SDG targets (Brooks et al. 2015): SDG 2.4 Red List Index (species used for food and medicine); SDG 2.5 Red List Index (wild relatives and local breeds); SDG 12.2 Red List Index (impacts of utilisation) (Butchart 2008); SDG 12.4 Red List Index (impacts of pollution); SDG 13.1 Red List Index (impacts of climate change); SDG 14.1 Red List Index (impacts of pollution on marine species); SDG 14.2 Red List Index (marine species); SDG 14.3 Red List Index (reef-building coral species) (Carpenter et al. 2008); SDG 14.4 Red List Index (impacts of utilisation on marine species); SDG 15.1 Red List Index (terrestrial &amp; freshwater species); SDG 15.2 Red List Index (forest-specialist species); SDG 15.4 Red List Index (mountain species); SDG 15.7 Red List Index (impacts of utilisation) (Butchart 2008); and SDG 15.8 Red List Index (impacts of invasive alien species) (Butchart 2008, McGeoch et al. 2010).</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International Union for Conservation of Nature (IUCN)</w:t>
            </w:r>
          </w:p>
          <w:p>
            <w:pPr>
              <w:pStyle w:val="29"/>
            </w:pPr>
            <w:r>
              <w:rPr>
                <w:sz w:val="22"/>
                <w:szCs w:val="22"/>
              </w:rPr>
              <w:t>BirdLife International (BLI)</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Forestry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ascii="Calibri" w:hAnsi="Calibri" w:eastAsia="Times New Roman" w:cs="Times New Roman"/>
                <w:color w:val="4A4A4A"/>
                <w:sz w:val="22"/>
                <w:szCs w:val="22"/>
                <w:lang w:eastAsia="en-GB"/>
              </w:rPr>
            </w:pPr>
            <w:r>
              <w:rPr>
                <w:rFonts w:ascii="Calibri" w:hAnsi="Calibri" w:eastAsia="Times New Roman" w:cs="Times New Roman"/>
                <w:b/>
                <w:bCs/>
                <w:color w:val="4A4A4A"/>
                <w:sz w:val="22"/>
                <w:szCs w:val="22"/>
                <w:lang w:eastAsia="en-GB"/>
              </w:rPr>
              <w:t>Definition:</w:t>
            </w:r>
          </w:p>
          <w:p>
            <w:pPr>
              <w:shd w:val="clear" w:color="auto" w:fill="FFFFFF"/>
              <w:contextualSpacing/>
              <w:rPr>
                <w:rFonts w:ascii="Calibri" w:hAnsi="Calibri" w:eastAsia="Times New Roman" w:cs="Times New Roman"/>
                <w:color w:val="4A4A4A"/>
                <w:sz w:val="22"/>
                <w:szCs w:val="22"/>
                <w:lang w:eastAsia="en-GB"/>
              </w:rPr>
            </w:pPr>
            <w:r>
              <w:rPr>
                <w:rFonts w:ascii="Calibri" w:hAnsi="Calibri" w:eastAsia="Times New Roman" w:cs="Times New Roman"/>
                <w:color w:val="4A4A4A"/>
                <w:sz w:val="22"/>
                <w:szCs w:val="22"/>
                <w:lang w:eastAsia="en-GB"/>
              </w:rPr>
              <w:t>The Red List Index measures change in aggregate extinction risk across groups of species. It is based on genuine changes in the number of species in each category of extinction risk on The IUCN Red List of Threatened Species (www.iucnredlist.org) is expressed as changes in an index ranging from 0 to 1.</w:t>
            </w:r>
          </w:p>
          <w:p>
            <w:pPr>
              <w:shd w:val="clear" w:color="auto" w:fill="FFFFFF"/>
              <w:contextualSpacing/>
              <w:rPr>
                <w:rFonts w:ascii="Calibri" w:hAnsi="Calibri" w:eastAsia="Times New Roman" w:cs="Times New Roman"/>
                <w:color w:val="4A4A4A"/>
                <w:sz w:val="22"/>
                <w:szCs w:val="22"/>
                <w:lang w:eastAsia="en-GB"/>
              </w:rPr>
            </w:pPr>
          </w:p>
          <w:p>
            <w:pPr>
              <w:shd w:val="clear" w:color="auto" w:fill="FFFFFF"/>
              <w:contextualSpacing/>
              <w:rPr>
                <w:rFonts w:ascii="Calibri" w:hAnsi="Calibri" w:eastAsia="Times New Roman" w:cs="Times New Roman"/>
                <w:color w:val="4A4A4A"/>
                <w:sz w:val="22"/>
                <w:szCs w:val="22"/>
                <w:lang w:eastAsia="en-GB"/>
              </w:rPr>
            </w:pPr>
          </w:p>
          <w:p>
            <w:pPr>
              <w:keepNext/>
              <w:keepLines/>
              <w:shd w:val="clear" w:color="auto" w:fill="FFFFFF"/>
              <w:contextualSpacing/>
              <w:rPr>
                <w:rFonts w:ascii="Calibri" w:hAnsi="Calibri" w:eastAsia="Times New Roman" w:cs="Times New Roman"/>
                <w:color w:val="4A4A4A"/>
                <w:sz w:val="22"/>
                <w:szCs w:val="22"/>
                <w:lang w:eastAsia="en-GB"/>
              </w:rPr>
            </w:pPr>
            <w:r>
              <w:rPr>
                <w:rFonts w:ascii="Calibri" w:hAnsi="Calibri" w:eastAsia="Times New Roman" w:cs="Times New Roman"/>
                <w:b/>
                <w:bCs/>
                <w:color w:val="4A4A4A"/>
                <w:sz w:val="22"/>
                <w:szCs w:val="22"/>
                <w:lang w:eastAsia="en-GB"/>
              </w:rPr>
              <w:t>Concepts:</w:t>
            </w:r>
          </w:p>
          <w:p>
            <w:pPr>
              <w:keepNext/>
              <w:keepLines/>
              <w:shd w:val="clear" w:color="auto" w:fill="FFFFFF"/>
              <w:contextualSpacing/>
            </w:pPr>
            <w:r>
              <w:rPr>
                <w:rFonts w:ascii="Calibri" w:hAnsi="Calibri" w:eastAsia="Times New Roman" w:cs="Times New Roman"/>
                <w:color w:val="4A4A4A"/>
                <w:sz w:val="22"/>
                <w:szCs w:val="22"/>
                <w:lang w:eastAsia="en-GB"/>
              </w:rPr>
              <w:t>Threatened species are those listed on The IUCN Red List of Threatened Species in the categories Vulnerable, Endangered, or Critically Endangered (i.e., species that are facing a high, very high, or extremely high risk of extinction in the wild in the medium-term future). Changes over time in the proportion of species threatened with extinction are largely driven by improvements in knowledge and changing taxonomy. The indicator excludes such changes to yield a more informative indicator than the simple proportion of threatened species. It therefore measures change in aggregate extinction risk across groups of species over time, resulting from genuine improvements or deteriorations in the status of individual species. It can be calculated for any representative set of species that have been assessed for The IUCN Red List of Threatened Species at least twice (Butchart et al. 2004, 2005, 2007). To calculate the Red List Index for individual countries and regions, each species contributing to the index is weighted by the proportion of its global range within the particular country or region. The resulting index therefore shows the aggregate extinction risk for species within the country or region relative to its potential contribution to global species extinction risk (within the taxonomic groups included).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eastAsia="zh-CN"/>
              </w:rPr>
              <w:t>It shows trends in overall extinction risk for species, and it’s used by governments to track their progress towards targets for reducing biodiversity loss.</w:t>
            </w:r>
          </w:p>
          <w:p>
            <w:pPr>
              <w:rPr>
                <w:rFonts w:hint="default"/>
                <w:lang w:val="en-CA"/>
              </w:rPr>
            </w:pPr>
            <w:r>
              <w:rPr>
                <w:rFonts w:hint="default"/>
                <w:lang w:val="en-CA" w:eastAsia="zh-CN"/>
              </w:rPr>
              <w:t>RLI values ranges from 0 to 1. An RLI value of 1.0 equates to all species being categorised as Least Concern, and hence that none are expected to go extinct in the near future. An RLI value of 0.0 indicates that all species have gone Extinct.  Therefore, the lower the value the closer the set of species is toward extinction.</w:t>
            </w:r>
            <w:bookmarkStart w:id="38" w:name="_GoBack"/>
            <w:bookmarkEnd w:id="38"/>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R</w:t>
            </w:r>
            <w:r>
              <w:rPr>
                <w:rFonts w:hint="default" w:cstheme="minorHAnsi"/>
                <w:lang w:val="en-CA"/>
              </w:rPr>
              <w:t xml:space="preserve">esource </w:t>
            </w:r>
            <w:r>
              <w:rPr>
                <w:rFonts w:cstheme="minorHAnsi"/>
              </w:rPr>
              <w:t>M</w:t>
            </w:r>
            <w:r>
              <w:rPr>
                <w:rFonts w:hint="default" w:cstheme="minorHAnsi"/>
                <w:lang w:val="en-CA"/>
              </w:rPr>
              <w:t xml:space="preserve">anagement </w:t>
            </w:r>
            <w:r>
              <w:rPr>
                <w:rFonts w:cstheme="minorHAnsi"/>
              </w:rPr>
              <w:t>S</w:t>
            </w:r>
            <w:r>
              <w:rPr>
                <w:rFonts w:hint="default" w:cstheme="minorHAnsi"/>
                <w:lang w:val="en-CA"/>
              </w:rPr>
              <w:t xml:space="preserve">upport </w:t>
            </w:r>
            <w:r>
              <w:rPr>
                <w:rFonts w:cstheme="minorHAnsi"/>
              </w:rPr>
              <w:t>C</w:t>
            </w:r>
            <w:r>
              <w:rPr>
                <w:rFonts w:hint="default" w:cstheme="minorHAnsi"/>
                <w:lang w:val="en-CA"/>
              </w:rPr>
              <w:t>entre</w:t>
            </w:r>
            <w:r>
              <w:rPr>
                <w:rFonts w:cstheme="minorHAnsi"/>
              </w:rPr>
              <w:t>, Forestry Commission,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Forestry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The world’s species are impacted by a number of threatening processes, including habitat destruction and degradation, overexploitation, invasive alien species, human disturbance, pollution and climate change. This indicator can be used to assess overall changes in the extinction risk of groups of species as a result of these threats and the extent to which threats are being mitigated. The Red List Index value ranges from 1 (all species are categorized as ‘Least Concern’) to 0 (all species are categorized as ‘Extinct’), and so indicates how far the set of species has moved overall towards extinction. Thus, the global Red List Index allows comparisons between sets of species in both their overall level of extinction risk (i.e., how threatened they are on average), and in the rate at which this risk changes over time. A downward trend in the global Red List Index over time means that the expected rate of future species extinctions is worsening (i.e., the rate of biodiversity loss is increasing). An upward trend means that the expected rate of species extinctions is abating (i.e., the rate of biodiversity loss is decreasing), and a horizontal line means that the expected rate of species extinctions is remaining the same, although in each of these cases it does not mean that biodiversity loss has stopped. An upward global Red List Index trend would indicate that the SDG Target 15.5 of reducing the degradation of natural habitats and protecting threatened species is on track. A global Red List Index value of 1 would indicate that biodiversity loss has been halted. The name “Red List Index” should not be taken to imply that the indicator is produced as a composite indicator of a number of disparate metrics (in the same way that, e.g., the Multidimensional Poverty Index is compiled). The Red List Index provides an indicator of trends in species’ extinction risk, as measured using the IUCN Red List Categories and Criteria (Mace et al. 2008, IUCN 2012a), and is compiled from data on changes over time in the Red List Category for each species, excluding any changes driven by improved knowledge or revised taxonomy. The Red List Index was used as an indicator towards the 2011–2020 Strategic Plan for Biodiversity (CBD 2014, Tittensor et al. 2014, CBD 2020a), the Convention on Biological Diversity’s 2010 Target (Butchart et al. 2010) and Millennium Development Goal 7. It has been proposed as a Headline Indicator in the draft post-2020 Global Biodiversity Framework (CBD 2020b).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40B0"/>
    <w:rsid w:val="001F0C55"/>
    <w:rsid w:val="001F31C6"/>
    <w:rsid w:val="00202B2D"/>
    <w:rsid w:val="0020618B"/>
    <w:rsid w:val="0022035F"/>
    <w:rsid w:val="00227BE5"/>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436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D21594"/>
    <w:rsid w:val="426924F9"/>
    <w:rsid w:val="6065675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0043"/>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215854</Words>
  <Characters>1230373</Characters>
  <Lines>10253</Lines>
  <Paragraphs>2886</Paragraphs>
  <TotalTime>45</TotalTime>
  <ScaleCrop>false</ScaleCrop>
  <LinksUpToDate>false</LinksUpToDate>
  <CharactersWithSpaces>1443341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2021-11-05T10:59:00Z</dcterms:created>
  <dc:creator>Fanning, Stephen B (JMD)</dc:creator>
  <cp:lastModifiedBy>Doreen</cp:lastModifiedBy>
  <cp:lastPrinted>2020-04-16T14:23:00Z</cp:lastPrinted>
  <dcterms:modified xsi:type="dcterms:W3CDTF">2022-09-22T17:26:22Z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0521600E01A1470EA5345D9DADC952F5</vt:lpwstr>
  </property>
</Properties>
</file>