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5</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rPr>
              <w:b/>
              <w:bCs/>
            </w:rPr>
            <w:t>Error! Bookmark not defined.</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rPr>
              <w:b/>
              <w:bCs/>
            </w:rPr>
            <w:t>Error! Bookmark not defined.</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6</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6</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9</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10</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16.3.2 Unsentenced detainees as a proportion of overall prison population [16.3.2] (VC_PRS_UNSNT)</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812684"/>
            <w:bookmarkStart w:id="6" w:name="_Toc36655608"/>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r>
              <w:t>The total number of persons held in detention who have not yet been sentenced, as a percentage of the total number of persons held in detention, on a specified date Sentenced’ refers to persons subject to criminal proceedings who have received a decision from a competent authority regarding their conviction or acquittal. For the purposes of the indicator, persons who have received a ‘non-final’ decision (such as where a conviction is subject to appeal) are considered to be ‘sentenced’.</w:t>
            </w: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pPr>
            <w:r>
              <w:fldChar w:fldCharType="begin"/>
            </w:r>
            <w:r>
              <w:instrText xml:space="preserve"> HYPERLINK "https://sustainabledevelopment-ghana.github.io/peace-and-justice-strong-institutions" </w:instrText>
            </w:r>
            <w:r>
              <w:fldChar w:fldCharType="separate"/>
            </w:r>
            <w:r>
              <w:rPr>
                <w:rStyle w:val="53"/>
                <w:rFonts w:asciiTheme="minorHAnsi" w:hAnsiTheme="minorHAnsi" w:cstheme="minorHAnsi"/>
                <w:color w:val="auto"/>
                <w:sz w:val="22"/>
                <w:szCs w:val="22"/>
              </w:rPr>
              <w:t xml:space="preserve">Goal 16: </w:t>
            </w:r>
            <w:r>
              <w:rPr>
                <w:rStyle w:val="18"/>
                <w:rFonts w:asciiTheme="minorHAnsi" w:hAnsiTheme="minorHAnsi" w:cstheme="minorHAnsi"/>
                <w:color w:val="auto"/>
                <w:sz w:val="22"/>
                <w:szCs w:val="22"/>
                <w:u w:val="none"/>
              </w:rPr>
              <w:t>Promote peaceful and inclusive societies for sustainable development, provide access to justice for all and build effective, accountable and inclusive institutions at all levels</w:t>
            </w:r>
            <w:r>
              <w:rPr>
                <w:rStyle w:val="18"/>
                <w:rFonts w:asciiTheme="minorHAnsi" w:hAnsiTheme="minorHAnsi" w:cstheme="minorHAnsi"/>
                <w:sz w:val="22"/>
                <w:szCs w:val="22"/>
                <w:u w:val="none"/>
              </w:rPr>
              <w:t xml:space="preserve"> </w:t>
            </w:r>
            <w:r>
              <w:rPr>
                <w:rStyle w:val="18"/>
                <w:rFonts w:asciiTheme="minorHAnsi" w:hAnsiTheme="minorHAnsi" w:cstheme="minorHAnsi"/>
                <w:sz w:val="22"/>
                <w:szCs w:val="22"/>
                <w:u w:val="none"/>
              </w:rPr>
              <w:fldChar w:fldCharType="end"/>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pPr>
            <w:r>
              <w:rPr>
                <w:rFonts w:eastAsia="Times New Roman" w:cs="Times New Roman"/>
                <w:color w:val="333333"/>
                <w:sz w:val="22"/>
                <w:szCs w:val="22"/>
                <w:lang w:eastAsia="en-GB"/>
              </w:rPr>
              <w:t>Target 16.3: Promote the rule of law at the national and international levels and ensure equal access to justice for all</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cstheme="minorHAnsi"/>
              </w:rPr>
            </w:pPr>
            <w:r>
              <w:rPr>
                <w:rFonts w:asciiTheme="minorHAnsi" w:hAnsiTheme="minorHAnsi" w:cstheme="minorHAnsi"/>
                <w:color w:val="auto"/>
                <w:sz w:val="22"/>
                <w:szCs w:val="22"/>
              </w:rPr>
              <w:t>Indicator 16.3.2: Unsentenced detainees as a proportion of overall prison population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Fonts w:eastAsia="Times New Roman" w:cs="Times New Roman"/>
                <w:color w:val="4A4A4A"/>
                <w:sz w:val="22"/>
                <w:szCs w:val="22"/>
                <w:lang w:eastAsia="en-GB"/>
              </w:rPr>
              <w:t>United Nations Office on Drugs and Crime (UNODC)</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7932744"/>
            <w:bookmarkStart w:id="10" w:name="_Toc36655609"/>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Prisons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573"/>
            <w:bookmarkStart w:id="15" w:name="_Toc36813073"/>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The total number of persons held in detention who have not yet been sentenced, as a percentage of the total number of persons held in detention, on a specified date.</w:t>
            </w:r>
          </w:p>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rPr>
                <w:rFonts w:eastAsia="Times New Roman" w:cs="Times New Roman"/>
                <w:color w:val="4A4A4A"/>
                <w:sz w:val="22"/>
                <w:szCs w:val="22"/>
                <w:lang w:eastAsia="en-GB"/>
              </w:rPr>
            </w:pPr>
          </w:p>
          <w:p>
            <w:pPr>
              <w:shd w:val="clear" w:color="auto" w:fill="FFFFFF"/>
              <w:spacing w:after="0"/>
            </w:pPr>
            <w:r>
              <w:rPr>
                <w:rFonts w:eastAsia="Times New Roman" w:cs="Times New Roman"/>
                <w:color w:val="4A4A4A"/>
                <w:sz w:val="22"/>
                <w:szCs w:val="22"/>
                <w:lang w:eastAsia="en-GB"/>
              </w:rPr>
              <w:t>‘Sentenced’ refers to persons subject to criminal proceedings who have received a decision from a competent authority regarding their conviction or acquittal. For the purposes of the indicator, persons who have received a ‘non-final’ decision (such as where a conviction is subject to appeal) are considered to be ‘sentenced’.</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cstheme="minorHAnsi"/>
                <w:bCs/>
                <w:iCs/>
                <w:lang w:val="en-GB"/>
              </w:rPr>
              <w:t>Ghana Prison Service Annual Report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Annual</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Prisons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6813075"/>
            <w:bookmarkStart w:id="23" w:name="_Toc37932747"/>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The indicator signifies overall respect for the principle that persons awaiting trial shall not be detained in custody unnecessarily. This, in turn, is premised on aspects of the right to be presumed innocent until proven guilty. From a development perspective, extensive use of pre-sentence detention when not necessary for reasons such as the prevention of absconding, the protection of victims or witnesses, or the prevention of the commission of further offences, can divert criminal justice system resources, and exert financial and unemployment burdens on the accused and his or her family. Measuring the relative extent to which pre-sentence detention is used can provide the evidence to assist countries in lowering such burdens and ensuring its proportionate use.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The total number of unsentenced persons held in detention divided by the total number of persons held in detention, on a specified da</w:t>
            </w:r>
            <w:bookmarkStart w:id="38" w:name="_GoBack"/>
            <w:bookmarkEnd w:id="38"/>
            <w:r>
              <w:t>te.</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689"/>
            <w:bookmarkStart w:id="27" w:name="_Toc36813076"/>
            <w:bookmarkStart w:id="28" w:name="_Toc37932748"/>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29C0"/>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7F9E"/>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09A2"/>
    <w:rsid w:val="00C94E79"/>
    <w:rsid w:val="00CA6252"/>
    <w:rsid w:val="00CA7FA5"/>
    <w:rsid w:val="00CB3A98"/>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4A4E2E8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11</Pages>
  <Words>215743</Words>
  <Characters>1229739</Characters>
  <Lines>10247</Lines>
  <Paragraphs>2885</Paragraphs>
  <TotalTime>13</TotalTime>
  <ScaleCrop>false</ScaleCrop>
  <LinksUpToDate>false</LinksUpToDate>
  <CharactersWithSpaces>1442597</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2021-10-18T15:34:00Z</dcterms:created>
  <dc:creator>Fanning, Stephen B (JMD)</dc:creator>
  <cp:lastModifiedBy>Doreen</cp:lastModifiedBy>
  <cp:lastPrinted>2020-04-16T14:23:00Z</cp:lastPrinted>
  <dcterms:modified xsi:type="dcterms:W3CDTF">2022-09-23T10:17:44Z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DA9D2DC0FE094BC49D969C04D064A5B0</vt:lpwstr>
  </property>
</Properties>
</file>