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17.1.2 Proportion of domestic budget funded by domestic taxes [17.1.2] (GC_GOB_TAXD)</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6813071"/>
            <w:bookmarkStart w:id="6" w:name="_Toc37932743"/>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pPr>
            <w:r>
              <w:rPr>
                <w:sz w:val="22"/>
                <w:szCs w:val="22"/>
              </w:rP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17.1: Strengthen domestic resource mobilization, including through international support to developing countries, to improve domestic capacity for tax and other revenue collection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0"/>
              <w:rPr>
                <w:rFonts w:hint="default"/>
                <w:lang w:val="en-CA"/>
              </w:rPr>
            </w:pPr>
            <w:r>
              <w:rPr>
                <w:sz w:val="22"/>
                <w:szCs w:val="22"/>
              </w:rPr>
              <w:t>Indicator 17.1.2: Proportion of domestic budget funded by domestic taxes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Indicator 17.1.1: Total government revenue as a proportion of GDP, by source</w:t>
            </w:r>
            <w:r>
              <w:rPr>
                <w:sz w:val="22"/>
                <w:szCs w:val="22"/>
                <w:highlight w:val="yellow"/>
              </w:rPr>
              <w:t xml:space="preserve">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t>I</w:t>
            </w:r>
            <w:r>
              <w:rPr>
                <w:sz w:val="22"/>
                <w:szCs w:val="22"/>
              </w:rPr>
              <w:t>MF Statistics Department (Government Finance Division)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655609"/>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rPr>
                <w:rFonts w:cstheme="minorHAnsi"/>
                <w:lang w:val="en-GB"/>
              </w:rPr>
              <w:t>Ministry of Finance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6655610"/>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Definition:</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precise definition of the indicator is the Proportion of domestic budgetary central government expenditure funded by taxes. Budgetary central government, described in GFSM 2014 (paragraph 2.81) is an institutional unit of the general government sector particularly important in terms of size and power, particularly the power to exercise control over many other units and entities. The budgetary central government is often a single unit of the central government that encompasses the fundamental activities of the national executive, legislative, and judiciary powers. This component of general government is usually covered by the main (or general) budget. The budgetary central government’s revenue (and expense) are normally regulated and controlled by a ministry of finance, or its functional equivalent, by means of a budget approved by the legislature. Most of the ministries, departments, agencies, boards, commissions, judicial authorities, legislative bodies, and other entities that make up the budgetary central government are not separate institutional units. This is because they generally do not have the</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authority to own assets, incur liabilities, or engage in transactions in their own right (see GFSM 2014 paragraph 2.42). including references to standards and classifications, preferably relying on international agreed definitions. The indicator definition should be unambiguous and expressed in universally applicable terms. It must clearly express the unit of measurement (proportion, dollars, number of people, etc.).</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Concepts:</w:t>
            </w:r>
          </w:p>
          <w:p>
            <w:pPr>
              <w:pStyle w:val="19"/>
              <w:keepNext w:val="0"/>
              <w:keepLines w:val="0"/>
              <w:widowControl/>
              <w:suppressLineNumbers w:val="0"/>
              <w:ind w:left="0" w:firstLine="0"/>
            </w:pPr>
            <w:r>
              <w:rPr>
                <w:rFonts w:hint="default" w:ascii="Calibri" w:hAnsi="Calibri" w:cs="Calibri"/>
                <w:i w:val="0"/>
                <w:iCs w:val="0"/>
                <w:caps w:val="0"/>
                <w:color w:val="000000"/>
                <w:spacing w:val="0"/>
                <w:sz w:val="22"/>
                <w:szCs w:val="22"/>
              </w:rPr>
              <w:t>The key concepts and terms associated with the indicator are outlined in GFSM 2014, as are the associated classifications. Revenue is defined in Chapter 4 (paragraph 4.23) and the associated classifications are detailed in Chapter 5. Expenditure is also defined in Chapter 4 (paragraph 4.21) while the associated detailed classifications and concepts used for calculating this aggregate are outlined in Chapter 6 - 8.</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pStyle w:val="35"/>
            </w:pPr>
            <w:r>
              <w:rPr>
                <w:sz w:val="22"/>
                <w:szCs w:val="22"/>
              </w:rPr>
              <w:t>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cstheme="minorHAnsi"/>
                <w:lang w:val="en-GB"/>
              </w:rPr>
              <w:t>Ministry of Finance fiscal data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Fonts w:cstheme="minorHAnsi"/>
                <w:lang w:val="en-GB"/>
              </w:rPr>
              <w:t>Ministry of Finance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575"/>
            <w:bookmarkStart w:id="22" w:name="_Toc36655612"/>
            <w:bookmarkStart w:id="23" w:name="_Toc368130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000000"/>
                <w:spacing w:val="0"/>
                <w:sz w:val="22"/>
                <w:szCs w:val="22"/>
              </w:rPr>
              <w:t>Indicator 17.1.2 Proportion of domestic budgetary central government expenditure funded by taxes supports an understanding of the extent to which countries’ recurrent and capital outlays are actually covered by domestic revenue mobilization in the form of taxation. The indicator, which can be directly derived from GFS series reported by national authorities to the IMF Statistics Department, will provide analysts with a cross-country comparable dataset that highlights the relationship between the executed national budget and the revenue/tax administration As outlined in the Annex to Chapter 4 of GFSM 2014, a variety of indicators can be observed or derived directly from the GFS framework, while others can be derived using a combination of GFS with other macroeconomic data (i.e., GDP). 17.1.2 will be derived using series that are basic to the GFS reporting framework. This enhances the comparability of data across countries and ensures establishing robust analytical findings to support SDG monitoring using fiscal data. There are also complementarities with Indicator 17.1.1, which facilitates an understanding of the "tax bur</w:t>
            </w:r>
            <w:bookmarkStart w:id="38" w:name="_GoBack"/>
            <w:bookmarkEnd w:id="38"/>
            <w:r>
              <w:rPr>
                <w:rFonts w:hint="default" w:ascii="Calibri" w:hAnsi="Calibri" w:eastAsia="SimSun" w:cs="Calibri"/>
                <w:i w:val="0"/>
                <w:iCs w:val="0"/>
                <w:caps w:val="0"/>
                <w:color w:val="000000"/>
                <w:spacing w:val="0"/>
                <w:sz w:val="22"/>
                <w:szCs w:val="22"/>
              </w:rPr>
              <w:t>den". Both indicators are important in relation to achieving longer-term development objectives.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655613"/>
            <w:bookmarkStart w:id="27" w:name="_Toc36813076"/>
            <w:bookmarkStart w:id="28" w:name="_Toc36812689"/>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Text">
    <w:panose1 w:val="02000505000000020004"/>
    <w:charset w:val="00"/>
    <w:family w:val="auto"/>
    <w:pitch w:val="default"/>
    <w:sig w:usb0="A00002EF" w:usb1="4000204B" w:usb2="00000000" w:usb3="00000000" w:csb0="2000019F" w:csb1="00000000"/>
  </w:font>
  <w:font w:name="Sitka Subheading">
    <w:panose1 w:val="02000505000000020004"/>
    <w:charset w:val="00"/>
    <w:family w:val="auto"/>
    <w:pitch w:val="default"/>
    <w:sig w:usb0="A00002EF" w:usb1="4000204B" w:usb2="00000000" w:usb3="00000000" w:csb0="2000019F" w:csb1="00000000"/>
  </w:font>
  <w:font w:name="Sylfaen">
    <w:panose1 w:val="010A0502050306030303"/>
    <w:charset w:val="00"/>
    <w:family w:val="auto"/>
    <w:pitch w:val="default"/>
    <w:sig w:usb0="04000687" w:usb1="00000000" w:usb2="00000000" w:usb3="00000000" w:csb0="2000009F" w:csb1="00000000"/>
  </w:font>
  <w:font w:name="Calisto MT">
    <w:panose1 w:val="02040603050505030304"/>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386"/>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4814"/>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C5B52D9"/>
    <w:rsid w:val="424958F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41A1E"/>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215440</Words>
  <Characters>1228014</Characters>
  <Lines>10233</Lines>
  <Paragraphs>2881</Paragraphs>
  <TotalTime>14</TotalTime>
  <ScaleCrop>false</ScaleCrop>
  <LinksUpToDate>false</LinksUpToDate>
  <CharactersWithSpaces>1440573</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2021-11-29T11:12:00Z</dcterms:created>
  <dc:creator>Fanning, Stephen B (JMD)</dc:creator>
  <cp:lastModifiedBy>Doreen</cp:lastModifiedBy>
  <cp:lastPrinted>2020-04-16T14:23:00Z</cp:lastPrinted>
  <dcterms:modified xsi:type="dcterms:W3CDTF">2022-09-28T20:31:55Z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9497283738CB488F8659C593AC54C68F</vt:lpwstr>
  </property>
</Properties>
</file>