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17.3.2 Volume of remittances (in United States dollars) as a proportion of total GDP [17.3.2] (BX_TRF_PWKR)</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4"/>
              <w:shd w:val="clear" w:color="auto" w:fill="F5F5F5"/>
              <w:spacing w:before="0"/>
            </w:pPr>
            <w:r>
              <w:rPr>
                <w:rFonts w:asciiTheme="minorHAnsi" w:hAnsiTheme="minorHAnsi"/>
                <w:color w:val="333333"/>
              </w:rP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4"/>
              <w:shd w:val="clear" w:color="auto" w:fill="F5F5F5"/>
              <w:spacing w:before="0"/>
              <w:rPr>
                <w:rFonts w:asciiTheme="minorHAnsi" w:hAnsiTheme="minorHAnsi"/>
                <w:color w:val="333333"/>
              </w:rPr>
            </w:pPr>
            <w:r>
              <w:rPr>
                <w:rFonts w:asciiTheme="minorHAnsi" w:hAnsiTheme="minorHAnsi"/>
                <w:color w:val="333333"/>
              </w:rPr>
              <w:t>Target 17.3: Mobilize additional financial resources for developing countries from multiple sources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shd w:val="clear" w:color="auto" w:fill="F5F5F5"/>
              <w:spacing w:before="0"/>
            </w:pPr>
            <w:bookmarkStart w:id="8" w:name="_Toc455354718"/>
            <w:r>
              <w:rPr>
                <w:rFonts w:asciiTheme="minorHAnsi" w:hAnsiTheme="minorHAnsi"/>
                <w:color w:val="auto"/>
                <w:sz w:val="22"/>
                <w:szCs w:val="22"/>
              </w:rPr>
              <w:t>Indicator 17.3.2: Volume of remittances (in United States dollars) as a proportion of total GDP</w:t>
            </w:r>
            <w:bookmarkEnd w:id="8"/>
          </w:p>
        </w:tc>
      </w:tr>
      <w:permEnd w:id="7"/>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2"/>
                <w:szCs w:val="22"/>
              </w:rPr>
              <w:t>World Bank (WB)</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812685"/>
            <w:bookmarkStart w:id="10" w:name="_Toc37932744"/>
            <w:bookmarkStart w:id="11" w:name="_Toc36813072"/>
            <w:bookmarkStart w:id="12" w:name="_Toc36812572"/>
            <w:bookmarkStart w:id="13" w:name="_Toc36655609"/>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Ministry of Finance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2686"/>
            <w:bookmarkStart w:id="15" w:name="_Toc36655610"/>
            <w:bookmarkStart w:id="16" w:name="_Toc36812573"/>
            <w:bookmarkStart w:id="17" w:name="_Toc36813073"/>
            <w:bookmarkStart w:id="18" w:name="_Toc37932745"/>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cs="Times New Roman"/>
                <w:color w:val="4A4A4A"/>
                <w:sz w:val="22"/>
                <w:szCs w:val="22"/>
              </w:rPr>
            </w:pPr>
            <w:r>
              <w:rPr>
                <w:rStyle w:val="20"/>
                <w:rFonts w:cs="Times New Roman"/>
                <w:color w:val="4A4A4A"/>
                <w:sz w:val="22"/>
                <w:szCs w:val="22"/>
              </w:rPr>
              <w:t>Definition:</w:t>
            </w:r>
          </w:p>
          <w:p>
            <w:pPr>
              <w:shd w:val="clear" w:color="auto" w:fill="FFFFFF"/>
              <w:spacing w:after="0"/>
              <w:rPr>
                <w:rFonts w:cs="Times New Roman"/>
                <w:color w:val="4A4A4A"/>
                <w:sz w:val="22"/>
                <w:szCs w:val="22"/>
              </w:rPr>
            </w:pPr>
          </w:p>
          <w:p>
            <w:pPr>
              <w:pStyle w:val="56"/>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 xml:space="preserve">Personal remittances received as proportion of GDP is the inflow of personal remittances expressed as a percentage of Gross Domestic Product (GDP). </w:t>
            </w:r>
          </w:p>
          <w:p>
            <w:pPr>
              <w:pStyle w:val="56"/>
              <w:shd w:val="clear" w:color="auto" w:fill="FFFFFF"/>
              <w:spacing w:before="0" w:beforeAutospacing="0" w:after="0" w:afterAutospacing="0"/>
              <w:rPr>
                <w:rFonts w:asciiTheme="minorHAnsi" w:hAnsiTheme="minorHAnsi"/>
                <w:color w:val="4A4A4A"/>
                <w:sz w:val="22"/>
                <w:szCs w:val="22"/>
              </w:rPr>
            </w:pPr>
          </w:p>
          <w:p>
            <w:pPr>
              <w:shd w:val="clear" w:color="auto" w:fill="FFFFFF"/>
              <w:spacing w:after="0"/>
              <w:rPr>
                <w:rFonts w:cs="Times New Roman"/>
                <w:color w:val="4A4A4A"/>
                <w:sz w:val="22"/>
                <w:szCs w:val="22"/>
              </w:rPr>
            </w:pPr>
            <w:r>
              <w:rPr>
                <w:rStyle w:val="20"/>
                <w:rFonts w:cs="Times New Roman"/>
                <w:color w:val="4A4A4A"/>
                <w:sz w:val="22"/>
                <w:szCs w:val="22"/>
              </w:rPr>
              <w:t>Concepts:</w:t>
            </w:r>
          </w:p>
          <w:p>
            <w:pPr>
              <w:shd w:val="clear" w:color="auto" w:fill="FFFFFF"/>
              <w:spacing w:after="0"/>
              <w:rPr>
                <w:rFonts w:cs="Times New Roman"/>
                <w:color w:val="4A4A4A"/>
                <w:sz w:val="22"/>
                <w:szCs w:val="22"/>
              </w:rPr>
            </w:pPr>
          </w:p>
          <w:p>
            <w:pPr>
              <w:pStyle w:val="56"/>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Personal remittances comprise of personal transfers and compensation of employees. Personal transfers consist of all current transfers in cash or in kind made or received by resident households to or from non-resident households. Personal transfers thus include all current transfers between resident and non-resident individuals. Compensation of employees refers to the income of border, seasonal, and other short-term workers who are employed in an economy where they are not resident and of residents employed by non-resident entities. Data are the sum of two items defined in the sixth edition of the IMF's Balance of Payments Manual: personal transfers and compensation of employees.</w:t>
            </w:r>
          </w:p>
          <w:p>
            <w:pPr>
              <w:pStyle w:val="56"/>
              <w:shd w:val="clear" w:color="auto" w:fill="FFFFFF"/>
              <w:spacing w:before="0" w:beforeAutospacing="0" w:after="0" w:afterAutospacing="0"/>
              <w:rPr>
                <w:rFonts w:asciiTheme="minorHAnsi" w:hAnsiTheme="minorHAnsi"/>
                <w:color w:val="4A4A4A"/>
                <w:sz w:val="22"/>
                <w:szCs w:val="22"/>
              </w:rPr>
            </w:pPr>
          </w:p>
          <w:p>
            <w:pPr>
              <w:pStyle w:val="56"/>
              <w:shd w:val="clear" w:color="auto" w:fill="FFFFFF"/>
              <w:spacing w:before="0" w:beforeAutospacing="0" w:after="0" w:afterAutospacing="0"/>
            </w:pPr>
            <w:r>
              <w:rPr>
                <w:rFonts w:asciiTheme="minorHAnsi" w:hAnsiTheme="minorHAnsi"/>
                <w:color w:val="4A4A4A"/>
                <w:sz w:val="22"/>
                <w:szCs w:val="22"/>
              </w:rPr>
              <w:t>The concepts used are in line with the Sixth Edition of the IMF's Balance of Payments and International Investment Position Manual (BPM6).</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Ministry of Finance, Budget Statement and Economic Policy 2018-2020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cstheme="minorHAnsi"/>
              </w:rPr>
              <w:t>Ministry of Finance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w:t>
            </w:r>
            <w:bookmarkStart w:id="39" w:name="_GoBack"/>
            <w:bookmarkEnd w:id="39"/>
            <w:r>
              <w:rPr>
                <w:rFonts w:hint="default"/>
                <w:lang w:val="en-US"/>
              </w:rPr>
              <w:t>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2688"/>
            <w:bookmarkStart w:id="22" w:name="_Toc36655612"/>
            <w:bookmarkStart w:id="23" w:name="_Toc36813075"/>
            <w:bookmarkStart w:id="24" w:name="_Toc36812575"/>
            <w:bookmarkStart w:id="25" w:name="_Toc37932747"/>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2576"/>
            <w:bookmarkStart w:id="27" w:name="_Toc36812689"/>
            <w:bookmarkStart w:id="28" w:name="_Toc37932748"/>
            <w:bookmarkStart w:id="29" w:name="_Toc36655613"/>
            <w:bookmarkStart w:id="30" w:name="_Toc36813076"/>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1" w:name="_Toc37932751"/>
      <w:bookmarkStart w:id="32" w:name="Tips_and_Tricks"/>
      <w:bookmarkStart w:id="33" w:name="_Toc36655616"/>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3"/>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6" w:name="_Toc37932753"/>
      <w:bookmarkStart w:id="37" w:name="Mapping"/>
      <w:r>
        <w:rPr>
          <w:sz w:val="28"/>
          <w:szCs w:val="28"/>
        </w:rPr>
        <w:t>B. Mapping of SDMX Detailed Concepts to IAEG-SDG File Format</w:t>
      </w:r>
      <w:bookmarkEnd w:id="36"/>
    </w:p>
    <w:bookmarkEnd w:id="37"/>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8" w:name="_Toc37932754"/>
      <w:r>
        <w:rPr>
          <w:sz w:val="28"/>
          <w:szCs w:val="28"/>
        </w:rPr>
        <w:t>C. Mapping of IAEG-SDG File Format to SDMX Detailed Concepts</w:t>
      </w:r>
      <w:bookmarkEnd w:id="38"/>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0B5F"/>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8F7729"/>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3D15565"/>
    <w:rsid w:val="52B65BD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semiHidden="0"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5"/>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 w:type="character" w:customStyle="1" w:styleId="55">
    <w:name w:val="Heading 5 Char"/>
    <w:basedOn w:val="5"/>
    <w:link w:val="4"/>
    <w:qFormat/>
    <w:uiPriority w:val="9"/>
    <w:rPr>
      <w:rFonts w:asciiTheme="majorHAnsi" w:hAnsiTheme="majorHAnsi" w:eastAsiaTheme="majorEastAsia" w:cstheme="majorBidi"/>
      <w:color w:val="2E75B6" w:themeColor="accent1" w:themeShade="BF"/>
    </w:rPr>
  </w:style>
  <w:style w:type="paragraph" w:customStyle="1" w:styleId="56">
    <w:name w:val="form-control-static"/>
    <w:basedOn w:val="1"/>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215571</Words>
  <Characters>1228755</Characters>
  <Lines>10239</Lines>
  <Paragraphs>2882</Paragraphs>
  <TotalTime>5</TotalTime>
  <ScaleCrop>false</ScaleCrop>
  <LinksUpToDate>false</LinksUpToDate>
  <CharactersWithSpaces>1441444</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2021-11-29T11:51:00Z</dcterms:created>
  <dc:creator>Fanning, Stephen B (JMD)</dc:creator>
  <cp:lastModifiedBy>Doreen</cp:lastModifiedBy>
  <cp:lastPrinted>2020-04-16T14:23:00Z</cp:lastPrinted>
  <dcterms:modified xsi:type="dcterms:W3CDTF">2022-09-28T20:44:13Z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B1B2AE3625F34B45AC220AFEC578C98D</vt:lpwstr>
  </property>
</Properties>
</file>