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4.2.2 Participation rate in organized learning (one year before the official primary entry age) [4.2.2] (SE_PRE_PARTN)</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Goal 4: Ensure inclusive and equitable quality education and promote lifelong learning opportunities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Target 4.2: By 2030, ensure that all girls and boys have access to quality early childhood development, care and pre-primary education so that they are ready for primary education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Indicator 4.2.2: Participation rate in organized learning (one year before the official primary entry age),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The participation rate in organized learning (one year before the official primary entry age), by sex is defined as the percentage of children in the given age range who participate in one or more organized learning programme</w:t>
            </w:r>
            <w:r>
              <w:rPr>
                <w:rFonts w:hint="default" w:asciiTheme="minorHAnsi" w:hAnsiTheme="minorHAnsi" w:cstheme="minorHAnsi"/>
                <w:color w:val="000000"/>
                <w:sz w:val="22"/>
                <w:szCs w:val="22"/>
                <w:lang w:val="en-CA"/>
              </w:rPr>
              <w:t>s</w:t>
            </w:r>
            <w:r>
              <w:rPr>
                <w:rFonts w:asciiTheme="minorHAnsi" w:hAnsiTheme="minorHAnsi" w:cstheme="minorHAnsi"/>
                <w:color w:val="000000"/>
                <w:sz w:val="22"/>
                <w:szCs w:val="22"/>
              </w:rPr>
              <w:t>, including programmes which offer a combination of education and care. Participation in early childhood and in primary education are both included.</w:t>
            </w:r>
          </w:p>
          <w:p>
            <w:pPr>
              <w:pStyle w:val="19"/>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An organized learning programme is one which consists of a coherent set or sequence of educational activities designed with the intention of achieving pre-determined learning outcomes or the</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accomplishment of a specific set of educational tasks. Early childhood and primary education programmes are examples of organized learning programmes.</w:t>
            </w:r>
          </w:p>
          <w:p>
            <w:pPr>
              <w:pStyle w:val="19"/>
              <w:jc w:val="both"/>
              <w:rPr>
                <w:rFonts w:asciiTheme="minorHAnsi" w:hAnsiTheme="minorHAnsi" w:cstheme="minorHAnsi"/>
                <w:color w:val="000000"/>
                <w:sz w:val="22"/>
                <w:szCs w:val="22"/>
              </w:rPr>
            </w:pPr>
            <w:r>
              <w:rPr>
                <w:rFonts w:asciiTheme="minorHAnsi" w:hAnsiTheme="minorHAnsi" w:cstheme="minorHAnsi"/>
                <w:color w:val="000000"/>
                <w:sz w:val="22"/>
                <w:szCs w:val="22"/>
              </w:rPr>
              <w:t xml:space="preserve">Early childhood and primary education are defined in </w:t>
            </w:r>
            <w:r>
              <w:rPr>
                <w:rFonts w:asciiTheme="minorHAnsi" w:hAnsiTheme="minorHAnsi" w:cstheme="minorHAnsi"/>
                <w:color w:val="000000"/>
                <w:sz w:val="22"/>
                <w:szCs w:val="22"/>
              </w:rPr>
              <w:fldChar w:fldCharType="begin"/>
            </w:r>
            <w:r>
              <w:rPr>
                <w:rFonts w:asciiTheme="minorHAnsi" w:hAnsiTheme="minorHAnsi" w:cstheme="minorHAnsi"/>
                <w:color w:val="000000"/>
                <w:sz w:val="22"/>
                <w:szCs w:val="22"/>
              </w:rPr>
              <w:instrText xml:space="preserve"> HYPERLINK "https://uis.unesco.org/en/topic/international-standard-classification-education-isced" </w:instrText>
            </w:r>
            <w:r>
              <w:rPr>
                <w:rFonts w:asciiTheme="minorHAnsi" w:hAnsiTheme="minorHAnsi" w:cstheme="minorHAnsi"/>
                <w:color w:val="000000"/>
                <w:sz w:val="22"/>
                <w:szCs w:val="22"/>
              </w:rPr>
              <w:fldChar w:fldCharType="separate"/>
            </w:r>
            <w:r>
              <w:rPr>
                <w:rStyle w:val="18"/>
                <w:rFonts w:asciiTheme="minorHAnsi" w:hAnsiTheme="minorHAnsi" w:cstheme="minorHAnsi"/>
                <w:color w:val="000000"/>
                <w:sz w:val="22"/>
                <w:szCs w:val="22"/>
              </w:rPr>
              <w:t>the 2011 revision of the International Standard Classification of Education (ISCED 2011)</w:t>
            </w:r>
            <w:r>
              <w:rPr>
                <w:rFonts w:asciiTheme="minorHAnsi" w:hAnsiTheme="minorHAnsi" w:cstheme="minorHAnsi"/>
                <w:color w:val="000000"/>
                <w:sz w:val="22"/>
                <w:szCs w:val="22"/>
              </w:rPr>
              <w:fldChar w:fldCharType="end"/>
            </w:r>
            <w:r>
              <w:rPr>
                <w:rFonts w:asciiTheme="minorHAnsi" w:hAnsiTheme="minorHAnsi" w:cstheme="minorHAnsi"/>
                <w:color w:val="000000"/>
                <w:sz w:val="22"/>
                <w:szCs w:val="22"/>
              </w:rPr>
              <w:t>. Early childhood education is typically designed with a holistic approach to support children’s early cognitive, physical, social and emotional development and to introduce young children to organized instruction outside the family context. Primary education offers learning and educational activities designed to provide students with fundamental skills in reading, writing and mathematics and establish a solid foundation for learning and understanding core areas of knowledge and personal development. It focuses on learning at a basic level of complexity with little, if any, specialisation.</w:t>
            </w:r>
          </w:p>
          <w:p>
            <w:pPr>
              <w:pStyle w:val="19"/>
              <w:jc w:val="both"/>
              <w:rPr>
                <w:rFonts w:cstheme="minorHAnsi"/>
              </w:rPr>
            </w:pPr>
            <w:r>
              <w:rPr>
                <w:rFonts w:asciiTheme="minorHAnsi" w:hAnsiTheme="minorHAnsi" w:cstheme="minorHAnsi"/>
                <w:color w:val="000000"/>
                <w:sz w:val="22"/>
                <w:szCs w:val="22"/>
              </w:rPr>
              <w:t xml:space="preserve">The official primary entry age is the age at which children are obliged to start primary education according to national legislation or policies.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hint="default"/>
                <w:lang w:val="en-CA"/>
              </w:rPr>
              <w:t xml:space="preserve">Ghana </w:t>
            </w:r>
            <w:r>
              <w:t>M</w:t>
            </w:r>
            <w:r>
              <w:rPr>
                <w:rFonts w:hint="default"/>
                <w:lang w:val="en-CA"/>
              </w:rPr>
              <w:t xml:space="preserve">ultiple </w:t>
            </w:r>
            <w:r>
              <w:t>I</w:t>
            </w:r>
            <w:r>
              <w:rPr>
                <w:rFonts w:hint="default"/>
                <w:lang w:val="en-CA"/>
              </w:rPr>
              <w:t xml:space="preserve">ndicator </w:t>
            </w:r>
            <w:r>
              <w:t>C</w:t>
            </w:r>
            <w:r>
              <w:rPr>
                <w:rFonts w:hint="default"/>
                <w:lang w:val="en-CA"/>
              </w:rPr>
              <w:t xml:space="preserve">luster </w:t>
            </w:r>
            <w:r>
              <w:t>S</w:t>
            </w:r>
            <w:r>
              <w:rPr>
                <w:rFonts w:hint="default"/>
                <w:lang w:val="en-CA"/>
              </w:rPr>
              <w:t xml:space="preserve">urvey (MICS), </w:t>
            </w:r>
            <w:r>
              <w:t>2011</w:t>
            </w:r>
            <w:r>
              <w:rPr>
                <w:rFonts w:hint="default"/>
                <w:lang w:val="en-CA"/>
              </w:rPr>
              <w:t xml:space="preserve"> and </w:t>
            </w:r>
            <w:r>
              <w:t>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The indicator measures children’s exposure to organized learning activities in the year prior to the start of primary school. A high value of the indicator shows a high degree of participation in organized learning immediately before the official entr</w:t>
            </w:r>
            <w:r>
              <w:rPr>
                <w:rFonts w:hint="default" w:eastAsia="SimSun" w:cstheme="minorHAnsi"/>
                <w:color w:val="000000"/>
                <w:lang w:val="en-CA"/>
              </w:rPr>
              <w:t>y</w:t>
            </w:r>
            <w:r>
              <w:rPr>
                <w:rFonts w:eastAsia="SimSun" w:cstheme="minorHAnsi"/>
                <w:color w:val="000000"/>
              </w:rPr>
              <w:t xml:space="preserve"> age to primary education.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w:t>
            </w:r>
            <w:r>
              <w:rPr>
                <w:rFonts w:hint="default"/>
                <w:lang w:val="en-CA"/>
              </w:rPr>
              <w:t xml:space="preserve"> data is disaggregated by regions, sex, rural and urban areas.</w:t>
            </w:r>
            <w:bookmarkStart w:id="38" w:name="_GoBack"/>
            <w:bookmarkEnd w:id="38"/>
            <w: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ascii="SimSun" w:hAnsi="SimSun" w:eastAsia="SimSun" w:cs="SimSun"/>
                <w:sz w:val="24"/>
                <w:szCs w:val="24"/>
              </w:rPr>
            </w:pPr>
            <w:r>
              <w:fldChar w:fldCharType="begin"/>
            </w:r>
            <w:r>
              <w:instrText xml:space="preserve"> HYPERLINK "https://unstats.un.org/sdgs/metadata/" </w:instrText>
            </w:r>
            <w:r>
              <w:fldChar w:fldCharType="separate"/>
            </w:r>
            <w:r>
              <w:rPr>
                <w:rStyle w:val="18"/>
                <w:rFonts w:eastAsia="SimSun" w:cstheme="minorHAnsi"/>
              </w:rPr>
              <w:t>SDG Indicators — SDG Indicators (un.org)</w:t>
            </w:r>
            <w:r>
              <w:rPr>
                <w:rStyle w:val="18"/>
                <w:rFonts w:eastAsia="SimSun" w:cstheme="minorHAnsi"/>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26D8"/>
    <w:rsid w:val="007A078A"/>
    <w:rsid w:val="007A2617"/>
    <w:rsid w:val="007A28BA"/>
    <w:rsid w:val="007B2E39"/>
    <w:rsid w:val="007B75E1"/>
    <w:rsid w:val="007C2733"/>
    <w:rsid w:val="007C63C4"/>
    <w:rsid w:val="007E4EE0"/>
    <w:rsid w:val="007E6342"/>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A57"/>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2054EED"/>
    <w:rsid w:val="2A4E5C7A"/>
    <w:rsid w:val="57AF4405"/>
    <w:rsid w:val="7259702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51DC"/>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215978</Words>
  <Characters>1231080</Characters>
  <Lines>10259</Lines>
  <Paragraphs>2888</Paragraphs>
  <TotalTime>23</TotalTime>
  <ScaleCrop>false</ScaleCrop>
  <LinksUpToDate>false</LinksUpToDate>
  <CharactersWithSpaces>1444170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2022-11-11T17:08:54Z</dcterms:modified>
  <cp:revision>14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77D93F30EFC34329A609BAD68EA8E9BE</vt:lpwstr>
  </property>
</Properties>
</file>