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2"/>
        <w:jc w:val="center"/>
        <w:rPr>
          <w:rFonts w:eastAsiaTheme="minorHAnsi"/>
          <w:sz w:val="48"/>
          <w:szCs w:val="48"/>
        </w:rPr>
      </w:pPr>
      <w:r>
        <w:rPr>
          <w:rFonts w:eastAsiaTheme="minorHAnsi"/>
          <w:sz w:val="48"/>
          <w:szCs w:val="48"/>
        </w:rPr>
        <w:t>SDG Metadata Authoring Tool Template</w:t>
      </w:r>
    </w:p>
    <w:p>
      <w:pPr>
        <w:pStyle w:val="20"/>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7"/>
          </w:pPr>
          <w:r>
            <w:t>Contents</w:t>
          </w:r>
        </w:p>
        <w:p>
          <w:pPr>
            <w:pStyle w:val="23"/>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4"/>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8"/>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8"/>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bookmarkStart w:id="1" w:name="_Hlk53861140"/>
          <w:r>
            <w:t>17.8.1 Internet users per 100 inhabitants [17.8.1] (IT_USE_II99)</w:t>
          </w:r>
          <w:bookmarkEnd w:id="1"/>
        </w:p>
      </w:sdtContent>
    </w:sdt>
    <w:perm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8"/>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2684"/>
            <w:bookmarkStart w:id="4" w:name="_Toc36813071"/>
            <w:bookmarkStart w:id="5" w:name="_Toc36812571"/>
            <w:bookmarkStart w:id="6" w:name="_Toc36655608"/>
            <w:bookmarkStart w:id="7" w:name="_Toc37932743"/>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pStyle w:val="30"/>
            </w:pPr>
            <w:r>
              <w:rPr>
                <w:sz w:val="22"/>
                <w:szCs w:val="22"/>
              </w:rPr>
              <w:t>Goal 17: Strengthen the means of implementation and revitalize the Global Partnership for Sustainable Development</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pStyle w:val="30"/>
            </w:pPr>
            <w:r>
              <w:rPr>
                <w:sz w:val="22"/>
                <w:szCs w:val="22"/>
              </w:rPr>
              <w:t>Target 17.8: Fully operationalize the technology bank and science, technology and innovation capacity-building mechanism for least developed countries by 2017 and enhance the use of enabling technology, in particular information and communications technology</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pStyle w:val="30"/>
            </w:pPr>
            <w:r>
              <w:rPr>
                <w:sz w:val="22"/>
                <w:szCs w:val="22"/>
              </w:rPr>
              <w:t>Indicator 17.8.1: Proportion of individuals using the Internet</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pStyle w:val="30"/>
            </w:p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pStyle w:val="30"/>
              <w:rPr>
                <w:color w:val="4A4A4A"/>
              </w:rPr>
            </w:pPr>
            <w:r>
              <w:rPr>
                <w:sz w:val="22"/>
                <w:szCs w:val="22"/>
              </w:rPr>
              <w:t>International Telecommunication Union (ITU)</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2685"/>
            <w:bookmarkStart w:id="9" w:name="_Toc36813072"/>
            <w:bookmarkStart w:id="10" w:name="_Toc36812572"/>
            <w:bookmarkStart w:id="11" w:name="_Toc37932744"/>
            <w:bookmarkStart w:id="12" w:name="_Toc36655609"/>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pPr>
              <w:rPr>
                <w:rFonts w:hint="default"/>
                <w:lang w:val="en-US"/>
              </w:rPr>
            </w:p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3073"/>
            <w:bookmarkStart w:id="14" w:name="_Toc37932745"/>
            <w:bookmarkStart w:id="15" w:name="_Toc36812573"/>
            <w:bookmarkStart w:id="16" w:name="_Toc36655610"/>
            <w:bookmarkStart w:id="17" w:name="_Toc36812686"/>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pStyle w:val="35"/>
              <w:rPr>
                <w:b/>
                <w:bCs/>
                <w:sz w:val="22"/>
                <w:szCs w:val="22"/>
              </w:rPr>
            </w:pPr>
            <w:r>
              <w:rPr>
                <w:b/>
                <w:bCs/>
                <w:sz w:val="22"/>
                <w:szCs w:val="22"/>
              </w:rPr>
              <w:t>Definition:</w:t>
            </w:r>
          </w:p>
          <w:p>
            <w:pPr>
              <w:pStyle w:val="35"/>
              <w:rPr>
                <w:sz w:val="22"/>
                <w:szCs w:val="22"/>
              </w:rPr>
            </w:pPr>
            <w:r>
              <w:rPr>
                <w:sz w:val="22"/>
                <w:szCs w:val="22"/>
              </w:rPr>
              <w:t>The indicator proportion of individuals using the Internet is defined as the proportion of individuals who used the Internet from any location in the last three months.</w:t>
            </w:r>
          </w:p>
          <w:p>
            <w:pPr>
              <w:pStyle w:val="35"/>
              <w:rPr>
                <w:sz w:val="22"/>
                <w:szCs w:val="22"/>
              </w:rPr>
            </w:pPr>
          </w:p>
          <w:p>
            <w:pPr>
              <w:pStyle w:val="35"/>
              <w:rPr>
                <w:b/>
                <w:bCs/>
                <w:sz w:val="22"/>
                <w:szCs w:val="22"/>
              </w:rPr>
            </w:pPr>
            <w:r>
              <w:rPr>
                <w:b/>
                <w:bCs/>
                <w:sz w:val="22"/>
                <w:szCs w:val="22"/>
              </w:rPr>
              <w:t>Concepts:</w:t>
            </w:r>
          </w:p>
          <w:p>
            <w:pPr>
              <w:pStyle w:val="35"/>
            </w:pPr>
            <w:r>
              <w:rPr>
                <w:sz w:val="22"/>
                <w:szCs w:val="22"/>
              </w:rPr>
              <w:t xml:space="preserve">The Internet is a worldwide public computer network. It provides access to a number of communication services including the World Wide Web and carries e-mail, news, entertainment and data files, irrespective of the device used (not assumed to be only via a computer - it may also be by mobile telephone, tablet, PDA, games machine, digital TV etc.). Access can </w:t>
            </w:r>
            <w:bookmarkStart w:id="38" w:name="_GoBack"/>
            <w:bookmarkEnd w:id="38"/>
            <w:r>
              <w:rPr>
                <w:sz w:val="22"/>
                <w:szCs w:val="22"/>
              </w:rPr>
              <w:t>be via a fixed or</w:t>
            </w:r>
            <w:r>
              <w:t xml:space="preserve"> </w:t>
            </w:r>
            <w:r>
              <w:rPr>
                <w:sz w:val="22"/>
                <w:szCs w:val="22"/>
              </w:rPr>
              <w:t>mobile network.</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rFonts w:hint="default"/>
                <w:lang w:val="en-CA"/>
              </w:rPr>
            </w:pPr>
            <w:r>
              <w:t>Percent</w:t>
            </w:r>
            <w:r>
              <w:rPr>
                <w:rFonts w:hint="default"/>
                <w:lang w:val="en-CA"/>
              </w:rPr>
              <w:t>age (%)</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7932746"/>
            <w:bookmarkStart w:id="19" w:name="_Toc36813074"/>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rFonts w:hint="default"/>
                <w:lang w:val="en-US"/>
              </w:rPr>
            </w:pPr>
            <w:r>
              <w:rPr>
                <w:rFonts w:hint="default"/>
                <w:lang w:val="en-US"/>
              </w:rPr>
              <w:t>G</w:t>
            </w:r>
            <w:r>
              <w:rPr>
                <w:rFonts w:hint="default"/>
                <w:lang w:val="en-CA"/>
              </w:rPr>
              <w:t xml:space="preserve">hana </w:t>
            </w:r>
            <w:r>
              <w:rPr>
                <w:rFonts w:hint="default"/>
                <w:lang w:val="en-US"/>
              </w:rPr>
              <w:t>L</w:t>
            </w:r>
            <w:r>
              <w:rPr>
                <w:rFonts w:hint="default"/>
                <w:lang w:val="en-CA"/>
              </w:rPr>
              <w:t xml:space="preserve">iving </w:t>
            </w:r>
            <w:r>
              <w:rPr>
                <w:rFonts w:hint="default"/>
                <w:lang w:val="en-US"/>
              </w:rPr>
              <w:t>S</w:t>
            </w:r>
            <w:r>
              <w:rPr>
                <w:rFonts w:hint="default"/>
                <w:lang w:val="en-CA"/>
              </w:rPr>
              <w:t xml:space="preserve">tandards </w:t>
            </w:r>
            <w:r>
              <w:rPr>
                <w:rFonts w:hint="default"/>
                <w:lang w:val="en-US"/>
              </w:rPr>
              <w:t>S</w:t>
            </w:r>
            <w:r>
              <w:rPr>
                <w:rFonts w:hint="default"/>
                <w:lang w:val="en-CA"/>
              </w:rPr>
              <w:t xml:space="preserve">urvey (GLSS) </w:t>
            </w:r>
            <w:r>
              <w:rPr>
                <w:rFonts w:hint="default"/>
                <w:lang w:val="en-US"/>
              </w:rPr>
              <w:t xml:space="preserve"> </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US"/>
              </w:rPr>
              <w:t>Ghana Statistical Service</w:t>
            </w:r>
            <w:r>
              <w:rPr>
                <w:rFonts w:hint="default"/>
                <w:lang w:val="en-CA"/>
              </w:rPr>
              <w:t xml:space="preserve"> (GSS)</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rFonts w:hint="default"/>
                <w:lang w:val="en-US"/>
              </w:rPr>
            </w:p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812575"/>
            <w:bookmarkStart w:id="21" w:name="_Toc37932747"/>
            <w:bookmarkStart w:id="22" w:name="_Toc36812688"/>
            <w:bookmarkStart w:id="23" w:name="_Toc36655612"/>
            <w:bookmarkStart w:id="24" w:name="_Toc36813075"/>
            <w:r>
              <w:rPr>
                <w:sz w:val="32"/>
                <w:szCs w:val="32"/>
              </w:rPr>
              <w:t>4. Other methodological considerations</w:t>
            </w:r>
            <w:bookmarkEnd w:id="20"/>
            <w:bookmarkEnd w:id="21"/>
            <w:bookmarkEnd w:id="22"/>
            <w:bookmarkEnd w:id="23"/>
            <w:bookmarkEnd w:id="24"/>
          </w:p>
        </w:tc>
      </w:tr>
      <w:tr>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pStyle w:val="19"/>
              <w:keepNext w:val="0"/>
              <w:keepLines w:val="0"/>
              <w:widowControl/>
              <w:suppressLineNumbers w:val="0"/>
              <w:ind w:left="0" w:firstLine="0"/>
              <w:rPr>
                <w:rFonts w:hint="default" w:ascii="Calibri" w:hAnsi="Calibri" w:cs="Calibri"/>
                <w:i w:val="0"/>
                <w:iCs w:val="0"/>
                <w:caps w:val="0"/>
                <w:color w:val="000000"/>
                <w:spacing w:val="0"/>
                <w:sz w:val="22"/>
                <w:szCs w:val="22"/>
              </w:rPr>
            </w:pPr>
            <w:r>
              <w:rPr>
                <w:rFonts w:hint="default" w:ascii="Calibri" w:hAnsi="Calibri" w:cs="Calibri"/>
                <w:i w:val="0"/>
                <w:iCs w:val="0"/>
                <w:caps w:val="0"/>
                <w:color w:val="000000"/>
                <w:spacing w:val="0"/>
                <w:sz w:val="22"/>
                <w:szCs w:val="22"/>
              </w:rPr>
              <w:t>The Internet has become an increasingly important tool to access public information, which is a relevant means to protect fundamental freedoms. The number of Internet users has increased substantially over the last decade and access to the Internet has changed the way people live, communicate, work and do business. Internet uptake is a key indicator tracked by policy makers and others to measure the development of the information society and the growth of Internet content – including user-generated content – provides access to increasing amounts of information and services.</w:t>
            </w:r>
          </w:p>
          <w:p>
            <w:pPr>
              <w:pStyle w:val="19"/>
              <w:keepNext w:val="0"/>
              <w:keepLines w:val="0"/>
              <w:widowControl/>
              <w:suppressLineNumbers w:val="0"/>
              <w:ind w:left="0" w:firstLine="0"/>
            </w:pPr>
            <w:r>
              <w:rPr>
                <w:rFonts w:hint="default" w:ascii="Calibri" w:hAnsi="Calibri" w:cs="Calibri"/>
                <w:i w:val="0"/>
                <w:iCs w:val="0"/>
                <w:caps w:val="0"/>
                <w:color w:val="000000"/>
                <w:spacing w:val="0"/>
                <w:sz w:val="22"/>
                <w:szCs w:val="22"/>
              </w:rPr>
              <w:t>Despite growth in networks, services and applications, information and communication technology (ICT) access and</w:t>
            </w:r>
            <w:r>
              <w:rPr>
                <w:rFonts w:hint="default" w:ascii="Times New Roman" w:hAnsi="Times New Roman" w:cs="Times New Roman"/>
                <w:i w:val="0"/>
                <w:iCs w:val="0"/>
                <w:caps w:val="0"/>
                <w:color w:val="000000"/>
                <w:spacing w:val="0"/>
                <w:sz w:val="27"/>
                <w:szCs w:val="27"/>
              </w:rPr>
              <w:t xml:space="preserve"> </w:t>
            </w:r>
            <w:r>
              <w:rPr>
                <w:rFonts w:hint="default" w:ascii="Calibri" w:hAnsi="Calibri" w:cs="Calibri"/>
                <w:i w:val="0"/>
                <w:iCs w:val="0"/>
                <w:caps w:val="0"/>
                <w:color w:val="000000"/>
                <w:spacing w:val="0"/>
                <w:sz w:val="22"/>
                <w:szCs w:val="22"/>
              </w:rPr>
              <w:t>use is still far from equally distributed, and many people cannot yet benefit from the potential of the Internet. This indicator highlights the importance of Internet use as a development enabler and helps to measure the digital divide, which, if not properly addressed, will aggravate inequalities in all development domains. Classificatory variables for individuals using the Internet –such as age, sex, education level or labour force status – can help identify digital divides in individuals using the Internet. This information can contribute to the design of targeted policies to overcome those divides.</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7932748"/>
            <w:bookmarkStart w:id="26" w:name="_Toc36655613"/>
            <w:bookmarkStart w:id="27" w:name="_Toc36812689"/>
            <w:bookmarkStart w:id="28" w:name="_Toc36812576"/>
            <w:bookmarkStart w:id="29" w:name="_Toc36813076"/>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lang w:val="en-CA"/>
              </w:rPr>
              <w:t>This data is disaggregated by regions, sex, rural and urban areas.</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tc>
      </w:tr>
      <w:permEnd w:id="46"/>
    </w:tbl>
    <w:p>
      <w:pPr>
        <w:pStyle w:val="2"/>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2"/>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2"/>
        <w:rPr>
          <w:sz w:val="28"/>
          <w:szCs w:val="28"/>
        </w:rPr>
      </w:pPr>
      <w:bookmarkStart w:id="35" w:name="_Toc37932753"/>
      <w:bookmarkStart w:id="36" w:name="Mapping"/>
      <w:r>
        <w:rPr>
          <w:sz w:val="28"/>
          <w:szCs w:val="28"/>
        </w:rPr>
        <w:t>B. Mapping of SDMX Detailed Concepts to IAEG-SDG File Format</w:t>
      </w:r>
      <w:bookmarkEnd w:id="35"/>
    </w:p>
    <w:bookmarkEnd w:id="36"/>
    <w:p>
      <w:pPr>
        <w:pStyle w:val="35"/>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5"/>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5"/>
      </w:pPr>
    </w:p>
    <w:p>
      <w:pPr>
        <w:pStyle w:val="32"/>
        <w:rPr>
          <w:sz w:val="28"/>
          <w:szCs w:val="28"/>
        </w:rPr>
      </w:pPr>
      <w:bookmarkStart w:id="37" w:name="_Toc37932754"/>
      <w:r>
        <w:rPr>
          <w:sz w:val="28"/>
          <w:szCs w:val="28"/>
        </w:rPr>
        <w:t>C. Mapping of IAEG-SDG File Format to SDMX Detailed Concepts</w:t>
      </w:r>
      <w:bookmarkEnd w:id="37"/>
    </w:p>
    <w:p>
      <w:pPr>
        <w:pStyle w:val="35"/>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5"/>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5"/>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39DF"/>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02AD"/>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3D104C42"/>
    <w:rsid w:val="7917071D"/>
    <w:rsid w:val="7936001B"/>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qFormat="1"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6"/>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1"/>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4"/>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7"/>
    <w:semiHidden/>
    <w:unhideWhenUsed/>
    <w:qFormat/>
    <w:uiPriority w:val="99"/>
    <w:pPr>
      <w:spacing w:line="240" w:lineRule="auto"/>
    </w:pPr>
    <w:rPr>
      <w:sz w:val="20"/>
      <w:szCs w:val="20"/>
    </w:rPr>
  </w:style>
  <w:style w:type="paragraph" w:styleId="9">
    <w:name w:val="annotation subject"/>
    <w:basedOn w:val="8"/>
    <w:next w:val="8"/>
    <w:link w:val="48"/>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50"/>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5"/>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2"/>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4"/>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Normal (Web)"/>
    <w:semiHidden/>
    <w:unhideWhenUsed/>
    <w:qFormat/>
    <w:uiPriority w:val="99"/>
    <w:pPr>
      <w:spacing w:before="0" w:beforeAutospacing="1" w:after="0" w:afterAutospacing="1"/>
      <w:ind w:left="0" w:right="0"/>
      <w:jc w:val="left"/>
    </w:pPr>
    <w:rPr>
      <w:rFonts w:ascii="Times New Roman" w:hAnsi="Times New Roman" w:eastAsia="SimSun" w:cs="Times New Roman"/>
      <w:kern w:val="0"/>
      <w:sz w:val="24"/>
      <w:szCs w:val="24"/>
      <w:lang w:val="en-US" w:eastAsia="zh-CN" w:bidi="ar"/>
    </w:rPr>
  </w:style>
  <w:style w:type="paragraph" w:styleId="20">
    <w:name w:val="Subtitle"/>
    <w:basedOn w:val="1"/>
    <w:next w:val="1"/>
    <w:link w:val="2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1">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2">
    <w:name w:val="Title"/>
    <w:basedOn w:val="1"/>
    <w:next w:val="1"/>
    <w:link w:val="28"/>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3">
    <w:name w:val="toc 1"/>
    <w:basedOn w:val="1"/>
    <w:next w:val="1"/>
    <w:unhideWhenUsed/>
    <w:qFormat/>
    <w:uiPriority w:val="39"/>
    <w:pPr>
      <w:spacing w:after="100"/>
    </w:pPr>
  </w:style>
  <w:style w:type="paragraph" w:styleId="24">
    <w:name w:val="toc 2"/>
    <w:basedOn w:val="1"/>
    <w:next w:val="1"/>
    <w:unhideWhenUsed/>
    <w:qFormat/>
    <w:uiPriority w:val="39"/>
    <w:pPr>
      <w:spacing w:after="100"/>
      <w:ind w:left="220"/>
    </w:pPr>
  </w:style>
  <w:style w:type="paragraph" w:styleId="25">
    <w:name w:val="toc 3"/>
    <w:basedOn w:val="1"/>
    <w:next w:val="1"/>
    <w:unhideWhenUsed/>
    <w:qFormat/>
    <w:uiPriority w:val="39"/>
    <w:pPr>
      <w:spacing w:after="100"/>
      <w:ind w:left="440"/>
    </w:pPr>
  </w:style>
  <w:style w:type="character" w:customStyle="1" w:styleId="26">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7">
    <w:name w:val="TOC Heading"/>
    <w:basedOn w:val="2"/>
    <w:next w:val="1"/>
    <w:unhideWhenUsed/>
    <w:qFormat/>
    <w:uiPriority w:val="39"/>
    <w:pPr>
      <w:outlineLvl w:val="9"/>
    </w:pPr>
  </w:style>
  <w:style w:type="character" w:customStyle="1" w:styleId="28">
    <w:name w:val="Title Char"/>
    <w:basedOn w:val="4"/>
    <w:link w:val="22"/>
    <w:qFormat/>
    <w:uiPriority w:val="10"/>
    <w:rPr>
      <w:rFonts w:asciiTheme="majorHAnsi" w:hAnsiTheme="majorHAnsi" w:eastAsiaTheme="majorEastAsia" w:cstheme="majorBidi"/>
      <w:spacing w:val="-10"/>
      <w:kern w:val="28"/>
      <w:sz w:val="56"/>
      <w:szCs w:val="56"/>
    </w:rPr>
  </w:style>
  <w:style w:type="character" w:customStyle="1" w:styleId="29">
    <w:name w:val="Subtitle Char"/>
    <w:basedOn w:val="4"/>
    <w:link w:val="2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0">
    <w:name w:val="M.G+T.Header"/>
    <w:basedOn w:val="1"/>
    <w:link w:val="31"/>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1">
    <w:name w:val="M.G+T.Header Char"/>
    <w:basedOn w:val="4"/>
    <w:link w:val="30"/>
    <w:uiPriority w:val="0"/>
    <w:rPr>
      <w:rFonts w:eastAsia="Times New Roman" w:cs="Times New Roman"/>
      <w:color w:val="333333"/>
      <w:sz w:val="21"/>
      <w:szCs w:val="21"/>
      <w:shd w:val="clear" w:color="auto" w:fill="F5F5F5"/>
      <w:lang w:val="en-GB" w:eastAsia="en-GB"/>
    </w:rPr>
  </w:style>
  <w:style w:type="paragraph" w:customStyle="1" w:styleId="32">
    <w:name w:val="M.Ind.Header"/>
    <w:basedOn w:val="1"/>
    <w:link w:val="33"/>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3">
    <w:name w:val="M.Ind.Header Char"/>
    <w:basedOn w:val="4"/>
    <w:link w:val="32"/>
    <w:qFormat/>
    <w:uiPriority w:val="0"/>
    <w:rPr>
      <w:rFonts w:eastAsia="Times New Roman" w:cs="Times New Roman"/>
      <w:color w:val="1C75BC"/>
      <w:shd w:val="clear" w:color="auto" w:fill="F5F5F5"/>
      <w:lang w:val="en-GB" w:eastAsia="en-GB"/>
    </w:rPr>
  </w:style>
  <w:style w:type="character" w:customStyle="1" w:styleId="34">
    <w:name w:val="Header Char"/>
    <w:basedOn w:val="4"/>
    <w:link w:val="17"/>
    <w:qFormat/>
    <w:uiPriority w:val="99"/>
    <w:rPr>
      <w:rFonts w:eastAsiaTheme="minorEastAsia"/>
      <w:lang w:val="en-GB" w:eastAsia="zh-CN"/>
    </w:rPr>
  </w:style>
  <w:style w:type="paragraph" w:customStyle="1" w:styleId="35">
    <w:name w:val="M.Text"/>
    <w:basedOn w:val="1"/>
    <w:link w:val="36"/>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6">
    <w:name w:val="M.Text Char"/>
    <w:basedOn w:val="4"/>
    <w:link w:val="35"/>
    <w:qFormat/>
    <w:uiPriority w:val="0"/>
    <w:rPr>
      <w:rFonts w:eastAsia="Times New Roman" w:cs="Times New Roman"/>
      <w:color w:val="4A4A4A"/>
      <w:sz w:val="21"/>
      <w:szCs w:val="21"/>
      <w:shd w:val="clear" w:color="auto" w:fill="FFFFFF"/>
      <w:lang w:val="en-GB" w:eastAsia="en-GB"/>
    </w:rPr>
  </w:style>
  <w:style w:type="table" w:customStyle="1" w:styleId="37">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8">
    <w:name w:val="M.Header"/>
    <w:basedOn w:val="1"/>
    <w:link w:val="39"/>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9">
    <w:name w:val="M.Header Char"/>
    <w:basedOn w:val="4"/>
    <w:link w:val="38"/>
    <w:qFormat/>
    <w:uiPriority w:val="0"/>
    <w:rPr>
      <w:rFonts w:eastAsia="Times New Roman" w:cs="Times New Roman"/>
      <w:color w:val="1C75BC"/>
      <w:sz w:val="36"/>
      <w:szCs w:val="36"/>
      <w:shd w:val="clear" w:color="auto" w:fill="FFFFFF"/>
      <w:lang w:val="en-GB" w:eastAsia="en-GB"/>
    </w:rPr>
  </w:style>
  <w:style w:type="paragraph" w:customStyle="1" w:styleId="40">
    <w:name w:val="M.Sub.Header"/>
    <w:basedOn w:val="1"/>
    <w:link w:val="41"/>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1">
    <w:name w:val="M.Sub.Header Char"/>
    <w:basedOn w:val="4"/>
    <w:link w:val="40"/>
    <w:qFormat/>
    <w:uiPriority w:val="0"/>
    <w:rPr>
      <w:rFonts w:eastAsia="Times New Roman" w:cs="Times New Roman"/>
      <w:b/>
      <w:bCs/>
      <w:color w:val="4A4A4A"/>
      <w:sz w:val="21"/>
      <w:szCs w:val="21"/>
      <w:shd w:val="clear" w:color="auto" w:fill="FFFFFF"/>
      <w:lang w:val="en-GB" w:eastAsia="en-GB"/>
    </w:rPr>
  </w:style>
  <w:style w:type="character" w:customStyle="1" w:styleId="42">
    <w:name w:val="Footnote Text Char"/>
    <w:basedOn w:val="4"/>
    <w:link w:val="16"/>
    <w:semiHidden/>
    <w:qFormat/>
    <w:uiPriority w:val="99"/>
    <w:rPr>
      <w:rFonts w:eastAsiaTheme="minorEastAsia"/>
      <w:sz w:val="20"/>
      <w:szCs w:val="20"/>
      <w:lang w:val="en-GB" w:eastAsia="zh-CN"/>
    </w:rPr>
  </w:style>
  <w:style w:type="paragraph" w:styleId="43">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4">
    <w:name w:val="Balloon Text Char"/>
    <w:basedOn w:val="4"/>
    <w:link w:val="6"/>
    <w:semiHidden/>
    <w:qFormat/>
    <w:uiPriority w:val="99"/>
    <w:rPr>
      <w:rFonts w:ascii="Segoe UI" w:hAnsi="Segoe UI" w:cs="Segoe UI"/>
      <w:sz w:val="18"/>
      <w:szCs w:val="18"/>
    </w:rPr>
  </w:style>
  <w:style w:type="character" w:customStyle="1" w:styleId="45">
    <w:name w:val="Footer Char"/>
    <w:basedOn w:val="4"/>
    <w:link w:val="13"/>
    <w:qFormat/>
    <w:uiPriority w:val="99"/>
  </w:style>
  <w:style w:type="character" w:customStyle="1" w:styleId="46">
    <w:name w:val="Unresolved Mention1"/>
    <w:basedOn w:val="4"/>
    <w:semiHidden/>
    <w:unhideWhenUsed/>
    <w:qFormat/>
    <w:uiPriority w:val="99"/>
    <w:rPr>
      <w:color w:val="605E5C"/>
      <w:shd w:val="clear" w:color="auto" w:fill="E1DFDD"/>
    </w:rPr>
  </w:style>
  <w:style w:type="character" w:customStyle="1" w:styleId="47">
    <w:name w:val="Comment Text Char"/>
    <w:basedOn w:val="4"/>
    <w:link w:val="8"/>
    <w:semiHidden/>
    <w:qFormat/>
    <w:uiPriority w:val="99"/>
    <w:rPr>
      <w:sz w:val="20"/>
      <w:szCs w:val="20"/>
    </w:rPr>
  </w:style>
  <w:style w:type="character" w:customStyle="1" w:styleId="48">
    <w:name w:val="Comment Subject Char"/>
    <w:basedOn w:val="47"/>
    <w:link w:val="9"/>
    <w:semiHidden/>
    <w:qFormat/>
    <w:uiPriority w:val="99"/>
    <w:rPr>
      <w:b/>
      <w:bCs/>
      <w:sz w:val="20"/>
      <w:szCs w:val="20"/>
    </w:rPr>
  </w:style>
  <w:style w:type="character" w:styleId="49">
    <w:name w:val="Placeholder Text"/>
    <w:basedOn w:val="4"/>
    <w:semiHidden/>
    <w:qFormat/>
    <w:uiPriority w:val="99"/>
    <w:rPr>
      <w:color w:val="808080"/>
    </w:rPr>
  </w:style>
  <w:style w:type="character" w:customStyle="1" w:styleId="50">
    <w:name w:val="Endnote Text Char"/>
    <w:basedOn w:val="4"/>
    <w:link w:val="11"/>
    <w:qFormat/>
    <w:uiPriority w:val="99"/>
    <w:rPr>
      <w:sz w:val="20"/>
      <w:szCs w:val="20"/>
    </w:rPr>
  </w:style>
  <w:style w:type="character" w:customStyle="1" w:styleId="51">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2">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3">
    <w:name w:val="Unresolved Mention"/>
    <w:basedOn w:val="4"/>
    <w:semiHidden/>
    <w:unhideWhenUsed/>
    <w:qFormat/>
    <w:uiPriority w:val="99"/>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4.bin"/></Relationships>
</file>

<file path=word/activeX/_rels/activeX4.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EB1C2039-A1E2-420D-9A37-E0F60F4991A9}">
  <ds:schemaRefs/>
</ds:datastoreItem>
</file>

<file path=customXml/itemProps2.xml><?xml version="1.0" encoding="utf-8"?>
<ds:datastoreItem xmlns:ds="http://schemas.openxmlformats.org/officeDocument/2006/customXml" ds:itemID="{4712825F-F8FB-47DE-B6A1-8CCC6E07E218}">
  <ds:schemaRefs/>
</ds:datastoreItem>
</file>

<file path=customXml/itemProps3.xml><?xml version="1.0" encoding="utf-8"?>
<ds:datastoreItem xmlns:ds="http://schemas.openxmlformats.org/officeDocument/2006/customXml" ds:itemID="{1ED1DF50-B557-40DB-AB1D-53089885C6E0}">
  <ds:schemaRefs/>
</ds:datastoreItem>
</file>

<file path=customXml/itemProps4.xml><?xml version="1.0" encoding="utf-8"?>
<ds:datastoreItem xmlns:ds="http://schemas.openxmlformats.org/officeDocument/2006/customXml" ds:itemID="{57E59553-E217-482E-8EE7-C905E1600DAA}">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11</Pages>
  <Words>215523</Words>
  <Characters>1228482</Characters>
  <Lines>10237</Lines>
  <Paragraphs>2882</Paragraphs>
  <TotalTime>31</TotalTime>
  <ScaleCrop>false</ScaleCrop>
  <LinksUpToDate>false</LinksUpToDate>
  <CharactersWithSpaces>1441123</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2021-11-29T12:33:00Z</dcterms:created>
  <dc:creator>Fanning, Stephen B (JMD)</dc:creator>
  <cp:lastModifiedBy>Doreen</cp:lastModifiedBy>
  <cp:lastPrinted>2020-04-16T14:23:00Z</cp:lastPrinted>
  <dcterms:modified xsi:type="dcterms:W3CDTF">2022-11-13T13:29:14Z</dcterms:modified>
  <cp:revision>2</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82AD818E2410461D85125B2DE593FC05</vt:lpwstr>
  </property>
</Properties>
</file>