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3.6.1 Death rate due to road traffic injuries [3.6.1] (SH_STA_TRAF)</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3.6: By 2020, halve the number of global deaths and injuries from road traffic accidents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Indicator 3.6.1: Death rate due to road traffic injuries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30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b/>
                <w:bCs/>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Definition:</w:t>
            </w:r>
          </w:p>
          <w:p>
            <w:pPr>
              <w:pStyle w:val="19"/>
              <w:keepNext w:val="0"/>
              <w:keepLines w:val="0"/>
              <w:widowControl/>
              <w:suppressLineNumbers w:val="0"/>
              <w:ind w:left="0" w:firstLine="0"/>
            </w:pPr>
            <w:r>
              <w:rPr>
                <w:rFonts w:hint="default" w:cs="Times New Roman" w:asciiTheme="minorAscii" w:hAnsiTheme="minorAscii"/>
                <w:b w:val="0"/>
                <w:bCs w:val="0"/>
                <w:i w:val="0"/>
                <w:iCs w:val="0"/>
                <w:caps w:val="0"/>
                <w:color w:val="000000"/>
                <w:spacing w:val="0"/>
                <w:sz w:val="22"/>
                <w:szCs w:val="22"/>
              </w:rPr>
              <w:t>Death rate due to road traffic injuries is defined as the number of road traffic fatal injury deaths per 100,000 population.</w:t>
            </w:r>
            <w:r>
              <w:rPr>
                <w:rFonts w:hint="default" w:cs="Times New Roman" w:asciiTheme="minorAscii" w:hAnsiTheme="minorAscii"/>
                <w:b w:val="0"/>
                <w:bCs w:val="0"/>
                <w:i w:val="0"/>
                <w:iCs w:val="0"/>
                <w:caps w:val="0"/>
                <w:color w:val="000000"/>
                <w:spacing w:val="0"/>
                <w:sz w:val="22"/>
                <w:szCs w:val="22"/>
                <w:lang w:val="en-CA"/>
              </w:rPr>
              <w:t xml:space="preserve"> </w:t>
            </w:r>
            <w:r>
              <w:rPr>
                <w:rFonts w:hint="default" w:cs="Times New Roman" w:asciiTheme="minorAscii" w:hAnsiTheme="minorAscii"/>
                <w:i w:val="0"/>
                <w:iCs w:val="0"/>
                <w:caps w:val="0"/>
                <w:color w:val="000000"/>
                <w:spacing w:val="0"/>
                <w:sz w:val="22"/>
                <w:szCs w:val="22"/>
              </w:rPr>
              <w:t>Absolute figure indicating the number of people who die as a result of a road traffic crash.</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Holistic Assessment of Health Sector</w:t>
            </w:r>
            <w:r>
              <w:rPr>
                <w:rFonts w:hint="default"/>
                <w:lang w:val="en-CA"/>
              </w:rPr>
              <w:t xml:space="preserve"> Programme of Work</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30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Road traffic injuries remain an important public health problem, particularly for low-income and middle-income countries.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w:t>
            </w:r>
            <w:r>
              <w:rPr>
                <w:rFonts w:hint="default"/>
                <w:lang w:val="en-CA"/>
              </w:rPr>
              <w:t>ere is no available disaggregation for this indicator.</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4EC303C"/>
    <w:rsid w:val="501E562A"/>
    <w:rsid w:val="717F510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122</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2022-11-08T21:21:39Z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4591111982CF41F3B6B4AD89FF673562</vt:lpwstr>
  </property>
</Properties>
</file>