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15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15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15pt;width:139.5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15pt;width:199.9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0"/>
              <w:bidi w:val="0"/>
              <w:rPr>
                <w:rStyle w:val="19"/>
                <w:rFonts w:hint="default" w:asciiTheme="minorAscii" w:hAnsiTheme="minorAscii"/>
                <w:sz w:val="22"/>
                <w:szCs w:val="22"/>
                <w:lang w:val="en-US"/>
              </w:rPr>
            </w:pPr>
            <w:r>
              <w:rPr>
                <w:rFonts w:hint="default" w:asciiTheme="minorAscii" w:hAnsiTheme="minorAscii" w:cstheme="minorHAns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1.2.2: Proportion of men, women and children of all ages living in poverty in all its dimensions according to national definitions.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eastAsia="Helvetica" w:cs="Helvetica" w:asciiTheme="minorAscii" w:hAnsiTheme="minorAscii"/>
                <w:i w:val="0"/>
                <w:iCs w:val="0"/>
                <w:caps w:val="0"/>
                <w:color w:val="0B0C0C"/>
                <w:spacing w:val="0"/>
                <w:sz w:val="22"/>
                <w:szCs w:val="22"/>
                <w:shd w:val="clear" w:fill="FFFFFF"/>
              </w:rPr>
              <w:t>Proportion of children 0-17 years who are deprived in various poverty dimension</w:t>
            </w:r>
            <w:r>
              <w:rPr>
                <w:rFonts w:hint="default" w:eastAsia="Helvetica" w:cs="Helvetica" w:asciiTheme="minorAscii" w:hAnsiTheme="minorAscii"/>
                <w:i w:val="0"/>
                <w:iCs w:val="0"/>
                <w:caps w:val="0"/>
                <w:color w:val="0B0C0C"/>
                <w:spacing w:val="0"/>
                <w:sz w:val="22"/>
                <w:szCs w:val="22"/>
                <w:shd w:val="clear" w:fill="FFFFFF"/>
                <w:lang w:val="en-CA"/>
              </w:rPr>
              <w:t>s</w:t>
            </w:r>
            <w:r>
              <w:rPr>
                <w:rFonts w:hint="default" w:eastAsia="Helvetica" w:cs="Helvetica" w:asciiTheme="minorAscii" w:hAnsiTheme="minorAscii"/>
                <w:i w:val="0"/>
                <w:iCs w:val="0"/>
                <w:caps w:val="0"/>
                <w:color w:val="0B0C0C"/>
                <w:spacing w:val="0"/>
                <w:sz w:val="22"/>
                <w:szCs w:val="22"/>
                <w:shd w:val="clear" w:fill="FFFFFF"/>
              </w:rPr>
              <w:t xml:space="preserve"> [1.2.2</w:t>
            </w:r>
            <w:r>
              <w:rPr>
                <w:rFonts w:hint="default" w:eastAsia="Helvetica" w:cs="Helvetica" w:asciiTheme="minorAscii" w:hAnsiTheme="minorAscii"/>
                <w:i w:val="0"/>
                <w:iCs w:val="0"/>
                <w:caps w:val="0"/>
                <w:color w:val="0B0C0C"/>
                <w:spacing w:val="0"/>
                <w:sz w:val="22"/>
                <w:szCs w:val="22"/>
                <w:shd w:val="clear" w:fill="FFFFFF"/>
                <w:lang w:val="en-CA"/>
              </w:rPr>
              <w:t>]</w:t>
            </w:r>
          </w:p>
          <w:p>
            <w:pPr>
              <w:bidi w:val="0"/>
            </w:pPr>
            <w:r>
              <w:t>Proportion of population living in multi</w:t>
            </w:r>
            <w:r>
              <w:rPr>
                <w:rFonts w:hint="default"/>
                <w:lang w:val="en-US"/>
              </w:rPr>
              <w:t>-</w:t>
            </w:r>
            <w:r>
              <w:t>dimensional poverty [1.2.2]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The World Bank, UNICEF, UNDP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p>
            <w:pPr>
              <w:rPr>
                <w:rFonts w:hint="default"/>
                <w:lang w:val="en-CA"/>
              </w:rPr>
            </w:pPr>
            <w:r>
              <w:rPr>
                <w:rFonts w:hint="default"/>
                <w:lang w:val="en-CA"/>
              </w:rPr>
              <w:t>National Development Planning Committee (NDPC)</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20"/>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The following</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series are used to monitor the SDG </w:t>
            </w:r>
            <w:r>
              <w:rPr>
                <w:rFonts w:hint="default" w:asciiTheme="minorHAnsi" w:hAnsiTheme="minorHAnsi" w:cstheme="minorHAnsi"/>
                <w:color w:val="000000"/>
                <w:sz w:val="22"/>
                <w:szCs w:val="22"/>
                <w:lang w:val="en-CA"/>
              </w:rPr>
              <w:t xml:space="preserve">Indicator </w:t>
            </w:r>
            <w:r>
              <w:rPr>
                <w:rFonts w:asciiTheme="minorHAnsi" w:hAnsiTheme="minorHAnsi" w:cstheme="minorHAnsi"/>
                <w:color w:val="000000"/>
                <w:sz w:val="22"/>
                <w:szCs w:val="22"/>
              </w:rPr>
              <w:t>1.2.2.</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1) Official multidimensional poverty headcount, by sex, and age (% of population)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people who are multidimensionally poor</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2) Average share of weighted deprivations (intensity) for total population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average share of weighted dimensions in which poor people are deprived among total population</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3) Official multidimensional poverty headcount (% of total households)</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households who are multidimensionally poor</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4) Average share of weighted deprivations (intensity) for total households</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average share of weighted dimensions in which poor people are deprived among total households</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5) Multidimensional deprivation for children (% of population under 18)</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children who are simultaneously deprived in multiple dimensions of well-being</w:t>
            </w:r>
            <w:r>
              <w:rPr>
                <w:rFonts w:hint="default" w:asciiTheme="minorHAnsi" w:hAnsiTheme="minorHAnsi" w:cstheme="minorHAnsi"/>
                <w:color w:val="000000"/>
                <w:sz w:val="22"/>
                <w:szCs w:val="22"/>
                <w:lang w:val="en-CA"/>
              </w:rPr>
              <w:t>.</w:t>
            </w:r>
          </w:p>
          <w:p>
            <w:pPr>
              <w:jc w:val="both"/>
              <w:rPr>
                <w:rFonts w:hint="default" w:eastAsia="Times New Roman" w:cstheme="minorHAnsi"/>
                <w:i/>
                <w:iCs/>
                <w:lang w:val="en-CA" w:eastAsia="en-GB"/>
              </w:rPr>
            </w:pPr>
            <w:r>
              <w:rPr>
                <w:rFonts w:eastAsia="Times New Roman" w:cstheme="minorHAnsi"/>
                <w:lang w:val="en-GB" w:eastAsia="en-GB"/>
              </w:rPr>
              <w:t>Well-being</w:t>
            </w:r>
            <w:r>
              <w:t xml:space="preserve"> is not just the absence of disease or illness but </w:t>
            </w:r>
            <w:r>
              <w:rPr>
                <w:rStyle w:val="10"/>
                <w:i w:val="0"/>
                <w:iCs w:val="0"/>
              </w:rPr>
              <w:t>It's a complex combination of a person's physical, mental, emotional and social health factors</w:t>
            </w:r>
            <w:r>
              <w:rPr>
                <w:rStyle w:val="10"/>
                <w:rFonts w:hint="default"/>
                <w:i w:val="0"/>
                <w:iCs w:val="0"/>
                <w:lang w:val="en-CA"/>
              </w:rPr>
              <w:t>.</w:t>
            </w:r>
          </w:p>
          <w:p>
            <w:pPr>
              <w:jc w:val="both"/>
              <w:rPr>
                <w:rFonts w:hint="default" w:eastAsia="Times New Roman" w:cstheme="minorHAnsi"/>
                <w:lang w:val="en-CA" w:eastAsia="en-GB"/>
              </w:rPr>
            </w:pPr>
            <w:r>
              <w:rPr>
                <w:rFonts w:eastAsia="Times New Roman" w:cstheme="minorHAnsi"/>
                <w:lang w:val="en-GB" w:eastAsia="en-GB"/>
              </w:rPr>
              <w:t xml:space="preserve"> Health </w:t>
            </w:r>
            <w:r>
              <w:rPr>
                <w:rFonts w:eastAsia="Times New Roman" w:cstheme="minorHAnsi"/>
                <w:i/>
                <w:iCs/>
                <w:lang w:val="en-GB" w:eastAsia="en-GB"/>
              </w:rPr>
              <w:t>-</w:t>
            </w:r>
            <w:r>
              <w:rPr>
                <w:rStyle w:val="10"/>
                <w:rFonts w:cstheme="minorHAnsi"/>
                <w:i w:val="0"/>
                <w:iCs w:val="0"/>
              </w:rPr>
              <w:t xml:space="preserve"> is a state of complete physical, mental and social well-being and not merely the absence of disease or infirmity</w:t>
            </w:r>
            <w:r>
              <w:rPr>
                <w:rStyle w:val="10"/>
                <w:rFonts w:hint="default" w:cstheme="minorHAnsi"/>
                <w:i w:val="0"/>
                <w:iCs w:val="0"/>
                <w:lang w:val="en-CA"/>
              </w:rPr>
              <w:t>.</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L</w:t>
            </w:r>
            <w:r>
              <w:rPr>
                <w:rFonts w:eastAsia="Times New Roman" w:cstheme="minorHAnsi"/>
                <w:lang w:val="en-GB" w:eastAsia="en-GB"/>
              </w:rPr>
              <w:t xml:space="preserve">earning and development: </w:t>
            </w:r>
            <w:r>
              <w:rPr>
                <w:rFonts w:cstheme="minorHAnsi"/>
              </w:rPr>
              <w:t>Learning and development is a systematic process to enhance ones</w:t>
            </w:r>
            <w:r>
              <w:rPr>
                <w:rFonts w:hint="default" w:cstheme="minorHAnsi"/>
                <w:lang w:val="en-CA"/>
              </w:rPr>
              <w:t>’</w:t>
            </w:r>
            <w:r>
              <w:rPr>
                <w:rFonts w:cstheme="minorHAnsi"/>
              </w:rPr>
              <w:t xml:space="preserve"> knowledge</w:t>
            </w:r>
            <w:r>
              <w:rPr>
                <w:rFonts w:hint="default" w:cstheme="minorHAnsi"/>
                <w:lang w:val="en-CA"/>
              </w:rPr>
              <w:t xml:space="preserve"> </w:t>
            </w:r>
            <w:r>
              <w:rPr>
                <w:rFonts w:cstheme="minorHAnsi"/>
              </w:rPr>
              <w:t>and competency, resulting in better performance.</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C</w:t>
            </w:r>
            <w:r>
              <w:rPr>
                <w:rFonts w:eastAsia="Times New Roman" w:cstheme="minorHAnsi"/>
                <w:lang w:val="en-GB" w:eastAsia="en-GB"/>
              </w:rPr>
              <w:t>hild protection:</w:t>
            </w:r>
            <w:r>
              <w:rPr>
                <w:rFonts w:cstheme="minorHAnsi"/>
                <w:lang w:val="en"/>
              </w:rPr>
              <w:t xml:space="preserve"> </w:t>
            </w:r>
            <w:r>
              <w:rPr>
                <w:rFonts w:hint="default" w:cstheme="minorHAnsi"/>
                <w:lang w:val="en-CA"/>
              </w:rPr>
              <w:t>C</w:t>
            </w:r>
            <w:r>
              <w:rPr>
                <w:rStyle w:val="56"/>
                <w:rFonts w:cstheme="minorHAnsi"/>
                <w:lang w:val="en"/>
              </w:rPr>
              <w:t>hild protection as measures and structures to prevent and respond to abuse, neglect, exploitation and</w:t>
            </w:r>
            <w:r>
              <w:rPr>
                <w:rStyle w:val="56"/>
                <w:rFonts w:hint="default" w:cstheme="minorHAnsi"/>
                <w:lang w:val="en-CA"/>
              </w:rPr>
              <w:t xml:space="preserve"> </w:t>
            </w:r>
            <w:r>
              <w:rPr>
                <w:rStyle w:val="56"/>
                <w:rFonts w:cstheme="minorHAnsi"/>
                <w:lang w:val="en"/>
              </w:rPr>
              <w:t>violence affecting children.</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S</w:t>
            </w:r>
            <w:r>
              <w:rPr>
                <w:rFonts w:eastAsia="Times New Roman" w:cstheme="minorHAnsi"/>
                <w:lang w:val="en-GB" w:eastAsia="en-GB"/>
              </w:rPr>
              <w:t>anitation:</w:t>
            </w:r>
            <w:r>
              <w:t xml:space="preserve"> </w:t>
            </w:r>
            <w:r>
              <w:rPr>
                <w:rStyle w:val="57"/>
              </w:rPr>
              <w:t>Sanitation</w:t>
            </w:r>
            <w:r>
              <w:t xml:space="preserve"> is the process of keeping places clean and health</w:t>
            </w:r>
            <w:r>
              <w:rPr>
                <w:rFonts w:hint="default"/>
                <w:lang w:val="en-CA"/>
              </w:rPr>
              <w:t>y</w:t>
            </w:r>
            <w:r>
              <w:t>, especially by providing a sewage system and a clean water supply.</w:t>
            </w:r>
          </w:p>
          <w:p>
            <w:pPr>
              <w:pStyle w:val="20"/>
              <w:jc w:val="both"/>
              <w:rPr>
                <w:rFonts w:asciiTheme="minorHAnsi" w:hAnsiTheme="minorHAnsi" w:cstheme="minorHAnsi"/>
                <w:color w:val="000000"/>
                <w:sz w:val="22"/>
                <w:szCs w:val="22"/>
              </w:rPr>
            </w:pPr>
            <w:r>
              <w:rPr>
                <w:rStyle w:val="56"/>
                <w:rFonts w:cstheme="minorHAnsi"/>
                <w:lang w:val="en"/>
              </w:rPr>
              <w:t xml:space="preserve"> </w:t>
            </w:r>
            <w:r>
              <w:rPr>
                <w:rFonts w:asciiTheme="minorHAnsi" w:hAnsiTheme="minorHAnsi" w:cstheme="minorHAnsi"/>
                <w:b/>
                <w:bCs/>
                <w:color w:val="000000"/>
                <w:sz w:val="22"/>
                <w:szCs w:val="22"/>
              </w:rPr>
              <w:t>Concepts:</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20"/>
              <w:jc w:val="both"/>
              <w:rPr>
                <w:rFonts w:hint="default" w:asciiTheme="minorAscii" w:hAnsiTheme="minorAscii"/>
                <w:sz w:val="22"/>
                <w:szCs w:val="22"/>
              </w:rPr>
            </w:pPr>
            <w:r>
              <w:rPr>
                <w:rFonts w:hint="default" w:asciiTheme="minorAscii" w:hAnsiTheme="minorAscii"/>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pPr>
              <w:jc w:val="both"/>
              <w:rPr>
                <w:rFonts w:hint="default" w:asciiTheme="minorAscii" w:hAnsiTheme="minorAscii"/>
                <w:sz w:val="22"/>
                <w:szCs w:val="22"/>
              </w:rPr>
            </w:pPr>
            <w:r>
              <w:rPr>
                <w:rFonts w:eastAsia="Times New Roman" w:cstheme="minorHAnsi"/>
                <w:lang w:val="en-GB" w:eastAsia="en-GB"/>
              </w:rPr>
              <w:t>Ghana’s Multidimensional Poverty Index (MPI), complements the monetary poverty by providing an assessment of deprivation of basic survival needs. The MPI provides a comprehensive understanding and evidence of the simultaneous deprivations faced by the poor to inform the formulation of targeted and efficient poverty reduction policies – GSS (2020): Multidimensional poverty – Ghana, pages iii and 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Multidimensional </w:t>
            </w:r>
            <w:r>
              <w:rPr>
                <w:rFonts w:hint="default" w:cstheme="minorHAnsi"/>
                <w:lang w:val="en-CA"/>
              </w:rPr>
              <w:t>C</w:t>
            </w:r>
            <w:r>
              <w:rPr>
                <w:rFonts w:cstheme="minorHAnsi"/>
              </w:rPr>
              <w:t>hild Poverty in Ghana, 2020</w:t>
            </w:r>
          </w:p>
          <w:p>
            <w:r>
              <w:rPr>
                <w:rFonts w:cstheme="minorHAnsi"/>
              </w:rPr>
              <w:t xml:space="preserve">Multidimensional </w:t>
            </w:r>
            <w:r>
              <w:rPr>
                <w:rFonts w:hint="default" w:cstheme="minorHAnsi"/>
                <w:lang w:val="en-CA"/>
              </w:rPr>
              <w:t>P</w:t>
            </w:r>
            <w:r>
              <w:rPr>
                <w:rFonts w:cstheme="minorHAnsi"/>
              </w:rPr>
              <w:t>overty</w:t>
            </w:r>
            <w:r>
              <w:rPr>
                <w:rFonts w:hint="default" w:cstheme="minorHAnsi"/>
                <w:lang w:val="en-CA"/>
              </w:rPr>
              <w:t xml:space="preserve"> Report, Ghana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 and primary sourced data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Statistical </w:t>
            </w:r>
            <w:r>
              <w:rPr>
                <w:rFonts w:hint="default"/>
                <w:lang w:val="en-CA"/>
              </w:rPr>
              <w:t>S</w:t>
            </w:r>
            <w:r>
              <w:t>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 xml:space="preserve">Ghana Statistical </w:t>
            </w:r>
            <w:r>
              <w:rPr>
                <w:rFonts w:hint="default"/>
                <w:lang w:val="en-CA"/>
              </w:rPr>
              <w:t>S</w:t>
            </w:r>
            <w:r>
              <w:t>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812688"/>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jc w:val="both"/>
            </w:pPr>
            <w:r>
              <w:rPr>
                <w:rFonts w:asciiTheme="minorHAnsi" w:hAnsiTheme="minorHAnsi" w:cstheme="minorHAnsi"/>
                <w:color w:val="000000"/>
                <w:sz w:val="22"/>
                <w:szCs w:val="22"/>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education</w:t>
            </w:r>
            <w:r>
              <w:rPr>
                <w:rFonts w:hint="default" w:asciiTheme="minorHAnsi" w:hAnsiTheme="minorHAnsi" w:cstheme="minorHAnsi"/>
                <w:color w:val="000000"/>
                <w:sz w:val="22"/>
                <w:szCs w:val="22"/>
                <w:lang w:val="en-CA"/>
              </w:rPr>
              <w:t xml:space="preserve"> and </w:t>
            </w:r>
            <w:r>
              <w:rPr>
                <w:rFonts w:asciiTheme="minorHAnsi" w:hAnsiTheme="minorHAnsi" w:cstheme="minorHAnsi"/>
                <w:color w:val="000000"/>
                <w:sz w:val="22"/>
                <w:szCs w:val="22"/>
              </w:rPr>
              <w:t>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Data has been disaggregated into urban and rural areas</w:t>
            </w:r>
            <w:r>
              <w:rPr>
                <w:rFonts w:hint="default"/>
                <w:lang w:val="en-US"/>
              </w:rPr>
              <w:t>, regions and development dimensions</w:t>
            </w:r>
            <w:r>
              <w:rPr>
                <w:rFonts w:hint="default"/>
                <w:lang w:val="en-CA"/>
              </w:rPr>
              <w:t>.</w:t>
            </w:r>
            <w:r>
              <w:rPr>
                <w:rFonts w:hint="default"/>
                <w:lang w:val="en-US"/>
              </w:rP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6208"/>
        <w:gridCol w:w="3048"/>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"https://data.oecd.org/inequality/poverty-rate.htm" </w:instrText>
            </w:r>
            <w:r>
              <w:fldChar w:fldCharType="separate"/>
            </w:r>
            <w:r>
              <w:rPr>
                <w:rStyle w:val="19"/>
              </w:rPr>
              <w:t>Organization for Economic C</w:t>
            </w:r>
            <w:bookmarkStart w:id="38" w:name="_GoBack"/>
            <w:bookmarkEnd w:id="38"/>
            <w:r>
              <w:rPr>
                <w:rStyle w:val="19"/>
              </w:rPr>
              <w:t xml:space="preserve">ooperation and Development, </w:t>
            </w:r>
            <w:r>
              <w:rPr>
                <w:rStyle w:val="19"/>
                <w:rFonts w:hint="default"/>
                <w:lang w:val="en-CA"/>
              </w:rPr>
              <w:t>P</w:t>
            </w:r>
            <w:r>
              <w:rPr>
                <w:rStyle w:val="19"/>
              </w:rPr>
              <w:t>overty Rate 2022</w:t>
            </w:r>
            <w:r>
              <w:rPr>
                <w:rStyle w:val="19"/>
                <w:rFonts w:hint="default"/>
                <w:lang w:val="en-CA"/>
              </w:rPr>
              <w:t>.</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01C318A4"/>
    <w:rsid w:val="02B53F9F"/>
    <w:rsid w:val="0DAE4F76"/>
    <w:rsid w:val="1D8C7C77"/>
    <w:rsid w:val="31210345"/>
    <w:rsid w:val="4AA054E9"/>
    <w:rsid w:val="4B6055FF"/>
    <w:rsid w:val="717F6C5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hgkelc"/>
    <w:basedOn w:val="4"/>
    <w:qFormat/>
    <w:uiPriority w:val="0"/>
  </w:style>
  <w:style w:type="character" w:customStyle="1" w:styleId="57">
    <w:name w:val="hi"/>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216179</Words>
  <Characters>1232225</Characters>
  <Lines>10268</Lines>
  <Paragraphs>2891</Paragraphs>
  <TotalTime>109</TotalTime>
  <ScaleCrop>false</ScaleCrop>
  <LinksUpToDate>false</LinksUpToDate>
  <CharactersWithSpaces>1445513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Doreen</cp:lastModifiedBy>
  <cp:lastPrinted>2020-04-16T14:23:00Z</cp:lastPrinted>
  <dcterms:modified xsi:type="dcterms:W3CDTF">2022-11-03T14:21:42Z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2C4FAB82AC9F40C68540C6CDCE33BA4E</vt:lpwstr>
  </property>
</Properties>
</file>