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20CE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20CE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20CE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20CE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20CE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20CE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20CE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20CE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20CE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20CE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20CE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20CE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20CE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9212963" w:rsidR="00355460" w:rsidRPr="00E263EC" w:rsidRDefault="0079280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0BE4F43" w:rsidR="00B66AF3" w:rsidRDefault="0079280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D0527A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F464E06" w:rsidR="0077584C" w:rsidRDefault="0079280C"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CB544C6" w:rsidR="00F7784D" w:rsidRDefault="0079280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DF4736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8F1F940" w14:textId="77777777" w:rsidR="0079280C" w:rsidRPr="0079280C" w:rsidRDefault="00320CEA" w:rsidP="0079280C">
            <w:pPr>
              <w:pStyle w:val="Heading1"/>
              <w:rPr>
                <w:rFonts w:asciiTheme="minorHAnsi" w:hAnsiTheme="minorHAnsi" w:cstheme="minorHAnsi"/>
                <w:color w:val="auto"/>
                <w:sz w:val="22"/>
                <w:szCs w:val="22"/>
              </w:rPr>
            </w:pPr>
            <w:hyperlink r:id="rId21" w:history="1">
              <w:r w:rsidR="0079280C" w:rsidRPr="0079280C">
                <w:rPr>
                  <w:rStyle w:val="hidden-sm"/>
                  <w:rFonts w:asciiTheme="minorHAnsi" w:hAnsiTheme="minorHAnsi" w:cstheme="minorHAnsi"/>
                  <w:color w:val="auto"/>
                  <w:sz w:val="22"/>
                  <w:szCs w:val="22"/>
                </w:rPr>
                <w:t xml:space="preserve">Goal 4: </w:t>
              </w:r>
              <w:r w:rsidR="0079280C" w:rsidRPr="0079280C">
                <w:rPr>
                  <w:rStyle w:val="Hyperlink"/>
                  <w:rFonts w:asciiTheme="minorHAnsi" w:hAnsiTheme="minorHAnsi" w:cstheme="minorHAnsi"/>
                  <w:color w:val="auto"/>
                  <w:sz w:val="22"/>
                  <w:szCs w:val="22"/>
                  <w:u w:val="none"/>
                </w:rPr>
                <w:t xml:space="preserve">Ensure inclusive and equitable quality education and promote lifelong learning opportunities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6241842" w14:textId="77777777" w:rsidR="00164B14" w:rsidRDefault="00164B14" w:rsidP="00164B14">
            <w:pPr>
              <w:pBdr>
                <w:top w:val="nil"/>
                <w:left w:val="nil"/>
                <w:bottom w:val="nil"/>
                <w:right w:val="nil"/>
                <w:between w:val="nil"/>
              </w:pBdr>
              <w:shd w:val="clear" w:color="auto" w:fill="F5F5F5"/>
              <w:spacing w:after="100" w:line="240" w:lineRule="auto"/>
              <w:rPr>
                <w:color w:val="333333"/>
                <w:sz w:val="21"/>
                <w:szCs w:val="21"/>
              </w:rPr>
            </w:pPr>
            <w:r>
              <w:rPr>
                <w:color w:val="333333"/>
                <w:sz w:val="21"/>
                <w:szCs w:val="21"/>
              </w:rPr>
              <w:t>Target 4.1: By 2030, ensure that all girls and boys complete free, equitable and quality primary and secondary education leading to relevant and effective learning outcomes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6EB2EAD" w14:textId="77777777" w:rsidR="0079280C" w:rsidRPr="0079280C" w:rsidRDefault="0079280C" w:rsidP="0079280C">
            <w:pPr>
              <w:pStyle w:val="Heading2"/>
              <w:rPr>
                <w:rFonts w:asciiTheme="minorHAnsi" w:hAnsiTheme="minorHAnsi" w:cstheme="minorHAnsi"/>
                <w:color w:val="auto"/>
                <w:sz w:val="22"/>
                <w:szCs w:val="22"/>
              </w:rPr>
            </w:pPr>
            <w:r w:rsidRPr="0079280C">
              <w:rPr>
                <w:rFonts w:asciiTheme="minorHAnsi" w:hAnsiTheme="minorHAnsi" w:cstheme="minorHAnsi"/>
                <w:color w:val="auto"/>
                <w:sz w:val="22"/>
                <w:szCs w:val="22"/>
              </w:rPr>
              <w:t>Indicator 4.1.1: Proportion of children and young people: (a) in grades 2/3; (b) at the end of primary; and (c) at the end of lower secondary achieving at least a minimum proficiency level in (</w:t>
            </w:r>
            <w:proofErr w:type="spellStart"/>
            <w:r w:rsidRPr="0079280C">
              <w:rPr>
                <w:rFonts w:asciiTheme="minorHAnsi" w:hAnsiTheme="minorHAnsi" w:cstheme="minorHAnsi"/>
                <w:color w:val="auto"/>
                <w:sz w:val="22"/>
                <w:szCs w:val="22"/>
              </w:rPr>
              <w:t>i</w:t>
            </w:r>
            <w:proofErr w:type="spellEnd"/>
            <w:r w:rsidRPr="0079280C">
              <w:rPr>
                <w:rFonts w:asciiTheme="minorHAnsi" w:hAnsiTheme="minorHAnsi" w:cstheme="minorHAnsi"/>
                <w:color w:val="auto"/>
                <w:sz w:val="22"/>
                <w:szCs w:val="22"/>
              </w:rPr>
              <w:t>) reading and (ii) mathematics, by sex</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4729649" w14:textId="77777777" w:rsidR="00164B14" w:rsidRDefault="00164B14" w:rsidP="00164B14">
            <w:pPr>
              <w:pBdr>
                <w:top w:val="nil"/>
                <w:left w:val="nil"/>
                <w:bottom w:val="nil"/>
                <w:right w:val="nil"/>
                <w:between w:val="nil"/>
              </w:pBdr>
              <w:shd w:val="clear" w:color="auto" w:fill="F5F5F5"/>
              <w:spacing w:after="100" w:line="240" w:lineRule="auto"/>
              <w:rPr>
                <w:color w:val="333333"/>
                <w:sz w:val="21"/>
                <w:szCs w:val="21"/>
              </w:rPr>
            </w:pPr>
            <w:r>
              <w:rPr>
                <w:color w:val="333333"/>
                <w:sz w:val="21"/>
                <w:szCs w:val="21"/>
              </w:rPr>
              <w:t>The parity indices for this indicator are reported in SDG indicator 4.5.1.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031CCB2" w14:textId="77777777" w:rsidR="00164B14" w:rsidRDefault="00164B14" w:rsidP="00164B14">
            <w:pPr>
              <w:pBdr>
                <w:top w:val="nil"/>
                <w:left w:val="nil"/>
                <w:bottom w:val="nil"/>
                <w:right w:val="nil"/>
                <w:between w:val="nil"/>
              </w:pBdr>
              <w:shd w:val="clear" w:color="auto" w:fill="F5F5F5"/>
              <w:spacing w:after="100" w:line="240" w:lineRule="auto"/>
              <w:rPr>
                <w:color w:val="4A4A4A"/>
                <w:sz w:val="21"/>
                <w:szCs w:val="21"/>
              </w:rPr>
            </w:pPr>
            <w:r>
              <w:rPr>
                <w:color w:val="333333"/>
                <w:sz w:val="21"/>
                <w:szCs w:val="21"/>
              </w:rPr>
              <w:t>UNESCO Institute of Statistics (UIS)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3F04520" w:rsidR="003E7389" w:rsidRPr="009F305C" w:rsidRDefault="0079280C"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F2CA84" w:rsidR="0015178E" w:rsidRPr="009F305C" w:rsidRDefault="0079280C"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1540E39" w:rsidR="0035311B" w:rsidRPr="00320CEA" w:rsidRDefault="006B7CEA" w:rsidP="009F305C">
            <w:pPr>
              <w:rPr>
                <w:rFonts w:cstheme="minorHAnsi"/>
                <w:iCs/>
              </w:rPr>
            </w:pPr>
            <w:r w:rsidRPr="00320CEA">
              <w:rPr>
                <w:rFonts w:eastAsia="Arial" w:cstheme="minorHAnsi"/>
                <w:iCs/>
              </w:rPr>
              <w:t>Ghana National Education Assessment, 2016</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2816E91" w:rsidR="007F2D9F" w:rsidRPr="009F305C" w:rsidRDefault="0079280C" w:rsidP="009F305C">
            <w:r>
              <w:t xml:space="preserve">The number of children and/or young people at the relevant stage of education </w:t>
            </w:r>
            <w:r w:rsidR="006B7CEA">
              <w:t>(</w:t>
            </w:r>
            <w:r>
              <w:t>n</w:t>
            </w:r>
            <w:r w:rsidR="006B7CEA">
              <w:t>)</w:t>
            </w:r>
            <w:r>
              <w:t xml:space="preserve"> in year </w:t>
            </w:r>
            <w:r w:rsidR="00320CEA">
              <w:t>(</w:t>
            </w:r>
            <w:r>
              <w:t>t</w:t>
            </w:r>
            <w:r w:rsidR="00320CEA">
              <w:t>)</w:t>
            </w:r>
            <w:r>
              <w:t xml:space="preserve"> achieving at least the pre-defined proficiency level in subject s expressed as a percentage of the number of children and or young people at stage of education n, in year t, in any proficiency level in subjects.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4B14"/>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CEA"/>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7CEA"/>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80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9280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634716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6289339">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quality-education"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70CD7"/>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TotalTime>
  <Pages>11</Pages>
  <Words>215526</Words>
  <Characters>1228499</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2021-10-18T12:35:00Z</dcterms:created>
  <dcterms:modified xsi:type="dcterms:W3CDTF">2021-11-02T13:47:00Z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