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6.1.1 Proportion of population using safely managed drinking water services [6.1.1] (SH_H2O_SAFE)</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Target 6.1: By 2030, achieve universal and equitable access to safe and affordable drinking water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06"/>
            <w:r>
              <w:rPr>
                <w:rFonts w:eastAsia="Times New Roman" w:cs="Times New Roman"/>
                <w:color w:val="0D0D0D" w:themeColor="text1" w:themeTint="F2"/>
                <w:lang w:eastAsia="en-GB"/>
                <w14:textFill>
                  <w14:solidFill>
                    <w14:schemeClr w14:val="tx1">
                      <w14:lumMod w14:val="95000"/>
                      <w14:lumOff w14:val="5000"/>
                    </w14:schemeClr>
                  </w14:solidFill>
                </w14:textFill>
              </w:rPr>
              <w:t>Indicator 6.1.1: Proportion of population using safely managed drinking water services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pacing w:after="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pPr>
              <w:shd w:val="clear" w:color="auto" w:fill="FFFFFF"/>
              <w:contextualSpacing/>
              <w:rPr>
                <w:rFonts w:eastAsia="Times New Roman" w:cs="Times New Roman"/>
                <w:color w:val="4A4A4A"/>
                <w:sz w:val="21"/>
                <w:szCs w:val="21"/>
                <w:lang w:eastAsia="en-GB"/>
              </w:rPr>
            </w:pPr>
          </w:p>
          <w:p>
            <w:pPr>
              <w:shd w:val="clear" w:color="auto" w:fill="FFFFFF"/>
              <w:contextualSpacing/>
            </w:pPr>
            <w:r>
              <w:rPr>
                <w:rFonts w:eastAsia="Times New Roman" w:cs="Times New Roman"/>
                <w:color w:val="4A4A4A"/>
                <w:sz w:val="21"/>
                <w:szCs w:val="21"/>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572"/>
            <w:bookmarkStart w:id="10" w:name="_Toc36813072"/>
            <w:bookmarkStart w:id="11" w:name="_Toc36655609"/>
            <w:bookmarkStart w:id="12" w:name="_Toc37932744"/>
            <w:bookmarkStart w:id="13" w:name="_Toc36812685"/>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3073"/>
            <w:bookmarkStart w:id="15" w:name="_Toc36812686"/>
            <w:bookmarkStart w:id="16" w:name="_Toc36655610"/>
            <w:bookmarkStart w:id="17" w:name="_Toc37932745"/>
            <w:bookmarkStart w:id="18" w:name="_Toc368125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sz w:val="22"/>
                <w:szCs w:val="22"/>
                <w:lang w:eastAsia="en-GB"/>
              </w:rPr>
            </w:pPr>
            <w:r>
              <w:rPr>
                <w:rFonts w:eastAsia="Times New Roman" w:cs="Times New Roman"/>
                <w:b/>
                <w:bCs/>
                <w:color w:val="4A4A4A"/>
                <w:sz w:val="22"/>
                <w:szCs w:val="22"/>
                <w:lang w:eastAsia="en-GB"/>
              </w:rPr>
              <w:t>Definition:</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r>
              <w:rPr>
                <w:rFonts w:eastAsia="Times New Roman" w:cs="Times New Roman"/>
                <w:color w:val="4A4A4A"/>
                <w:sz w:val="22"/>
                <w:szCs w:val="22"/>
                <w:lang w:val="en-CA" w:eastAsia="en-GB"/>
              </w:rPr>
              <w:t>fecal</w:t>
            </w:r>
            <w:r>
              <w:rPr>
                <w:rFonts w:eastAsia="Times New Roman" w:cs="Times New Roman"/>
                <w:color w:val="4A4A4A"/>
                <w:sz w:val="22"/>
                <w:szCs w:val="22"/>
                <w:lang w:eastAsia="en-GB"/>
              </w:rPr>
              <w:t xml:space="preserve"> (and priority chemical) contamination. ‘Improved’ drinking water sources include: piped water into dwelling, yard or plot; public taps or standpipes; boreholes or </w:t>
            </w:r>
            <w:r>
              <w:rPr>
                <w:rFonts w:eastAsia="Times New Roman" w:cs="Times New Roman"/>
                <w:color w:val="4A4A4A"/>
                <w:sz w:val="22"/>
                <w:szCs w:val="22"/>
                <w:lang w:val="en-CA" w:eastAsia="en-GB"/>
              </w:rPr>
              <w:t>tube wells</w:t>
            </w:r>
            <w:r>
              <w:rPr>
                <w:rFonts w:eastAsia="Times New Roman" w:cs="Times New Roman"/>
                <w:color w:val="4A4A4A"/>
                <w:sz w:val="22"/>
                <w:szCs w:val="22"/>
                <w:lang w:eastAsia="en-GB"/>
              </w:rPr>
              <w:t>; protected dug wells; protected springs; packaged water; delivered water and rainwater.</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A water source is considered to be ‘located on premises’ if the point of collection is within the dwelling, yard, or plot.</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 xml:space="preserve">‘Available when needed’: </w:t>
            </w:r>
            <w:r>
              <w:rPr>
                <w:rFonts w:hint="default" w:eastAsia="Times New Roman" w:cs="Times New Roman"/>
                <w:color w:val="4A4A4A"/>
                <w:sz w:val="22"/>
                <w:szCs w:val="22"/>
                <w:lang w:val="en-CA" w:eastAsia="en-GB"/>
              </w:rPr>
              <w:t>H</w:t>
            </w:r>
            <w:r>
              <w:rPr>
                <w:rFonts w:eastAsia="Times New Roman" w:cs="Times New Roman"/>
                <w:color w:val="4A4A4A"/>
                <w:sz w:val="22"/>
                <w:szCs w:val="22"/>
                <w:lang w:eastAsia="en-GB"/>
              </w:rPr>
              <w:t>ouseholds are able to access sufficient quantities of water when needed.</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pPr>
            <w:r>
              <w:rPr>
                <w:rFonts w:eastAsia="Times New Roman" w:cs="Times New Roman"/>
                <w:color w:val="4A4A4A"/>
                <w:sz w:val="22"/>
                <w:szCs w:val="22"/>
                <w:lang w:eastAsia="en-GB"/>
              </w:rPr>
              <w:t>‘Free from faecal and priority chemical contamination’: water complies with relevant national or local standards.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9" w:name="_GoBack"/>
            <w:r>
              <w:rPr>
                <w:rFonts w:hint="default"/>
                <w:lang w:val="en-CA"/>
              </w:rPr>
              <w:t>WHO/UNICEF Joint Monitoring Programme (JMP) for Water Supply, Sanitation and Hygiene</w:t>
            </w:r>
            <w:bookmarkEnd w:id="39"/>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World Health Organization (WHO)</w:t>
            </w:r>
          </w:p>
          <w:p>
            <w:pPr>
              <w:rPr>
                <w:rFonts w:hint="default"/>
                <w:lang w:val="en-CA"/>
              </w:rPr>
            </w:pPr>
            <w:r>
              <w:rPr>
                <w:rFonts w:hint="default"/>
                <w:lang w:val="en-CA"/>
              </w:rPr>
              <w:t>United Nations Children’s Fund (UNICEF)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3075"/>
            <w:bookmarkStart w:id="23" w:name="_Toc37932747"/>
            <w:bookmarkStart w:id="24" w:name="_Toc36655612"/>
            <w:bookmarkStart w:id="25" w:name="_Toc36812575"/>
            <w:r>
              <w:rPr>
                <w:sz w:val="32"/>
                <w:szCs w:val="32"/>
              </w:rPr>
              <w:t>4. Other methodological considerations</w:t>
            </w:r>
            <w:bookmarkEnd w:id="21"/>
            <w:bookmarkEnd w:id="22"/>
            <w:bookmarkEnd w:id="23"/>
            <w:bookmarkEnd w:id="24"/>
            <w:bookmarkEnd w:id="25"/>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safe drinking water is essential for good health, welfare and productivity and is widely recognized as a human right. Drinking water may be contaminated with human or animal faeces containing pathogens or with chemical and physical contaminants, leading to harmful effects on health. While improving water quality is critical to prevent the transmission of many diseases (such as diarrhoea which exacerbates malnutrition and remains a leading global cause of child deaths), improving the accessibility and availability of drinking water is equally important for health and welfare, particularly for women and girls who often bear the primary responsibility for collecting drinking water from distant sources.  As a result, the SDG indicator 6.1.1 is designed to address safe management of drinking water services, including dimensions of accessibility, availability and quality.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color w:val="212529"/>
                <w:shd w:val="clear" w:color="auto" w:fill="FFFFFF"/>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7932748"/>
            <w:bookmarkStart w:id="28" w:name="_Toc36812576"/>
            <w:bookmarkStart w:id="29" w:name="_Toc36655613"/>
            <w:bookmarkStart w:id="30" w:name="_Toc36812689"/>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"https://www.who.int/publications/i/item/9789241549950" </w:instrText>
            </w:r>
            <w:r>
              <w:rPr>
                <w:rFonts w:hint="default"/>
              </w:rPr>
              <w:fldChar w:fldCharType="separate"/>
            </w:r>
            <w:r>
              <w:rPr>
                <w:rStyle w:val="19"/>
                <w:rFonts w:hint="default"/>
              </w:rPr>
              <w:t>https://www.who.int/publications/i/item/9789241549950</w:t>
            </w:r>
            <w:r>
              <w:rPr>
                <w:rFonts w:hint="default"/>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0949"/>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538E"/>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4BF6"/>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2756328"/>
    <w:rsid w:val="447B6986"/>
    <w:rsid w:val="455253E8"/>
    <w:rsid w:val="496C676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8775B"/>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215881</Words>
  <Characters>1230526</Characters>
  <Lines>10254</Lines>
  <Paragraphs>2887</Paragraphs>
  <TotalTime>33</TotalTime>
  <ScaleCrop>false</ScaleCrop>
  <LinksUpToDate>false</LinksUpToDate>
  <CharactersWithSpaces>1443520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2021-11-03T13:50:00Z</dcterms:created>
  <dc:creator>Fanning, Stephen B (JMD)</dc:creator>
  <cp:lastModifiedBy>Doreen</cp:lastModifiedBy>
  <cp:lastPrinted>2020-04-16T14:23:00Z</cp:lastPrinted>
  <dcterms:modified xsi:type="dcterms:W3CDTF">2022-11-11T14:53:54Z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A76B176ABBD646D582D50F182B635C20</vt:lpwstr>
  </property>
</Properties>
</file>