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15.1.1 Forest area as a proportion of total land area [15.1.1] (AG_LND_FRST)</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jc w:val="both"/>
              <w:rPr>
                <w:rFonts w:hint="default" w:asciiTheme="minorAscii" w:hAnsiTheme="minorAscii" w:cstheme="minorHAnsi"/>
                <w:sz w:val="22"/>
                <w:szCs w:val="22"/>
              </w:rPr>
            </w:pPr>
            <w:r>
              <w:rPr>
                <w:rFonts w:hint="default" w:eastAsia="SimSun" w:cs="SimSun" w:asciiTheme="minorAscii" w:hAnsiTheme="minorAscii"/>
                <w:sz w:val="22"/>
                <w:szCs w:val="22"/>
              </w:rPr>
              <w:t>Goal 15: Protect, restore and promote sustainable use of terrestrial ecosystems, sustainably manage forests, combat desertification, and halt and reverse land degradation and halt biodiversity loss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jc w:val="both"/>
            </w:pPr>
            <w:r>
              <w:rPr>
                <w:rFonts w:cstheme="minorHAnsi"/>
                <w:b w:val="0"/>
                <w:bCs w:val="0"/>
              </w:rPr>
              <w:t>Target 15.1</w:t>
            </w:r>
            <w:r>
              <w:rPr>
                <w:rFonts w:cstheme="minorHAnsi"/>
                <w:b/>
                <w:bCs/>
              </w:rPr>
              <w:t xml:space="preserve">: </w:t>
            </w:r>
            <w:r>
              <w:rPr>
                <w:rFonts w:cstheme="minorHAnsi"/>
              </w:rPr>
              <w:t>By 2030, ensure the conservation, restoration and sustainable use of terrestrial and</w:t>
            </w:r>
            <w:r>
              <w:rPr>
                <w:rFonts w:hint="default" w:cstheme="minorHAnsi"/>
                <w:lang w:val="en-CA"/>
              </w:rPr>
              <w:t xml:space="preserve"> </w:t>
            </w:r>
            <w:r>
              <w:rPr>
                <w:rFonts w:cstheme="minorHAnsi"/>
              </w:rPr>
              <w:t>inland freshwater ecosystems and their services, in particular forests, wetlands, mountains and drylands, in line with obligations under international agreements.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15.1.1: Forest area as a proportion of total land area</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Food and Agriculture Organization of the United Nations (FAO)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2572"/>
            <w:bookmarkStart w:id="10" w:name="_Toc36655609"/>
            <w:bookmarkStart w:id="11" w:name="_Toc37932744"/>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rPr>
                <w:rFonts w:cstheme="minorHAnsi"/>
              </w:rPr>
            </w:p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686"/>
            <w:bookmarkStart w:id="15" w:name="_Toc37932745"/>
            <w:bookmarkStart w:id="16" w:name="_Toc36812573"/>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jc w:val="both"/>
              <w:rPr>
                <w:rFonts w:cstheme="minorHAnsi"/>
                <w:b/>
                <w:bCs/>
              </w:rPr>
            </w:pPr>
            <w:r>
              <w:rPr>
                <w:rFonts w:cstheme="minorHAnsi"/>
                <w:b/>
                <w:bCs/>
              </w:rPr>
              <w:t>Concepts:</w:t>
            </w:r>
          </w:p>
          <w:p>
            <w:pPr>
              <w:autoSpaceDE w:val="0"/>
              <w:autoSpaceDN w:val="0"/>
              <w:adjustRightInd w:val="0"/>
              <w:spacing w:after="0" w:line="240" w:lineRule="auto"/>
              <w:jc w:val="both"/>
              <w:rPr>
                <w:rFonts w:cstheme="minorHAnsi"/>
              </w:rPr>
            </w:pPr>
            <w:r>
              <w:rPr>
                <w:rFonts w:cstheme="minorHAnsi"/>
              </w:rPr>
              <w:t xml:space="preserve">According to the </w:t>
            </w:r>
            <w:r>
              <w:rPr>
                <w:rFonts w:cstheme="minorHAnsi"/>
              </w:rPr>
              <w:fldChar w:fldCharType="begin"/>
            </w:r>
            <w:r>
              <w:rPr>
                <w:rFonts w:cstheme="minorHAnsi"/>
              </w:rPr>
              <w:instrText xml:space="preserve"> HYPERLINK "https://www.fao.org/forestry/20338-0d886aa3af31818cf013633588910a39a.pdf" </w:instrText>
            </w:r>
            <w:r>
              <w:rPr>
                <w:rFonts w:cstheme="minorHAnsi"/>
              </w:rPr>
              <w:fldChar w:fldCharType="separate"/>
            </w:r>
            <w:r>
              <w:rPr>
                <w:rStyle w:val="18"/>
                <w:rFonts w:cstheme="minorHAnsi"/>
              </w:rPr>
              <w:t>FAO definitions</w:t>
            </w:r>
            <w:r>
              <w:rPr>
                <w:rFonts w:cstheme="minorHAnsi"/>
              </w:rPr>
              <w:fldChar w:fldCharType="end"/>
            </w:r>
            <w:r>
              <w:rPr>
                <w:rFonts w:cstheme="minorHAnsi"/>
              </w:rPr>
              <w:t>, Forest is defined as: “land spanning more than 0.5 hectares with</w:t>
            </w:r>
            <w:r>
              <w:rPr>
                <w:rFonts w:hint="default" w:cstheme="minorHAnsi"/>
                <w:lang w:val="en-CA"/>
              </w:rPr>
              <w:t xml:space="preserve"> </w:t>
            </w:r>
            <w:r>
              <w:rPr>
                <w:rFonts w:cstheme="minorHAnsi"/>
              </w:rPr>
              <w:t>trees higher than 5 meters and a canopy cover of more than 10 percent, or trees able to reach these</w:t>
            </w:r>
            <w:r>
              <w:rPr>
                <w:rFonts w:hint="default" w:cstheme="minorHAnsi"/>
                <w:lang w:val="en-CA"/>
              </w:rPr>
              <w:t xml:space="preserve"> </w:t>
            </w:r>
            <w:r>
              <w:rPr>
                <w:rFonts w:cstheme="minorHAnsi"/>
              </w:rPr>
              <w:t>thresholds in situ</w:t>
            </w:r>
            <w:r>
              <w:rPr>
                <w:rFonts w:hint="default" w:cstheme="minorHAnsi"/>
                <w:lang w:val="en-CA"/>
              </w:rPr>
              <w:t>”</w:t>
            </w:r>
            <w:r>
              <w:rPr>
                <w:rFonts w:cstheme="minorHAnsi"/>
              </w:rPr>
              <w:t xml:space="preserve">. </w:t>
            </w:r>
          </w:p>
          <w:p>
            <w:pPr>
              <w:autoSpaceDE w:val="0"/>
              <w:autoSpaceDN w:val="0"/>
              <w:adjustRightInd w:val="0"/>
              <w:spacing w:after="0" w:line="240" w:lineRule="auto"/>
              <w:jc w:val="both"/>
              <w:rPr>
                <w:rFonts w:cstheme="minorHAnsi"/>
              </w:rPr>
            </w:pPr>
            <w:r>
              <w:rPr>
                <w:rFonts w:cstheme="minorHAnsi"/>
              </w:rPr>
              <w:t>Forest is determined both by the presence of trees and the absence of other predominant land uses.</w:t>
            </w:r>
            <w:r>
              <w:rPr>
                <w:rFonts w:hint="default" w:cstheme="minorHAnsi"/>
                <w:lang w:val="en-CA"/>
              </w:rPr>
              <w:t xml:space="preserve"> </w:t>
            </w:r>
            <w:r>
              <w:rPr>
                <w:rFonts w:cstheme="minorHAnsi"/>
              </w:rPr>
              <w:t>The trees should be able to reach a minimum height of 5 meters.</w:t>
            </w:r>
          </w:p>
          <w:p>
            <w:pPr>
              <w:autoSpaceDE w:val="0"/>
              <w:autoSpaceDN w:val="0"/>
              <w:adjustRightInd w:val="0"/>
              <w:spacing w:after="0" w:line="240" w:lineRule="auto"/>
              <w:jc w:val="both"/>
            </w:pPr>
            <w:r>
              <w:rPr>
                <w:rFonts w:cstheme="minorHAnsi"/>
              </w:rPr>
              <w:t>Total land area is the total surface area of a country less the area covered by inland waters, like</w:t>
            </w:r>
            <w:r>
              <w:rPr>
                <w:rFonts w:hint="default" w:cstheme="minorHAnsi"/>
                <w:lang w:val="en-CA"/>
              </w:rPr>
              <w:t xml:space="preserve"> </w:t>
            </w:r>
            <w:r>
              <w:rPr>
                <w:rFonts w:cstheme="minorHAnsi"/>
              </w:rPr>
              <w:t>major rivers and lakes.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bookmarkStart w:id="38" w:name="_GoBack"/>
            <w:bookmarkEnd w:id="38"/>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Resource Management Support Centre (RMSC),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 xml:space="preserve">Forestry Commission of Ghana (FCoG) </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2688"/>
            <w:bookmarkStart w:id="22" w:name="_Toc36813075"/>
            <w:bookmarkStart w:id="23" w:name="_Toc36655612"/>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jc w:val="both"/>
              <w:rPr>
                <w:rFonts w:cstheme="minorHAnsi"/>
              </w:rPr>
            </w:pPr>
            <w:r>
              <w:rPr>
                <w:rFonts w:cstheme="minorHAnsi"/>
              </w:rPr>
              <w:t>Forests fulfil a number of functions that are vital for humanity, including the provision of goods</w:t>
            </w:r>
            <w:r>
              <w:rPr>
                <w:rFonts w:hint="default" w:cstheme="minorHAnsi"/>
                <w:lang w:val="en-CA"/>
              </w:rPr>
              <w:t xml:space="preserve"> </w:t>
            </w:r>
            <w:r>
              <w:rPr>
                <w:rFonts w:cstheme="minorHAnsi"/>
              </w:rPr>
              <w:t>(wood and non-wood forest products) and services such as habitat for biodiversity, carbon</w:t>
            </w:r>
          </w:p>
          <w:p>
            <w:pPr>
              <w:autoSpaceDE w:val="0"/>
              <w:autoSpaceDN w:val="0"/>
              <w:adjustRightInd w:val="0"/>
              <w:spacing w:after="0" w:line="240" w:lineRule="auto"/>
              <w:jc w:val="both"/>
              <w:rPr>
                <w:rFonts w:cstheme="minorHAnsi"/>
              </w:rPr>
            </w:pPr>
            <w:r>
              <w:rPr>
                <w:rFonts w:cstheme="minorHAnsi"/>
              </w:rPr>
              <w:t>sequestration, coastal protection and soil and water</w:t>
            </w:r>
            <w:r>
              <w:rPr>
                <w:rFonts w:hint="default" w:cstheme="minorHAnsi"/>
                <w:lang w:val="en-CA"/>
              </w:rPr>
              <w:t xml:space="preserve"> </w:t>
            </w:r>
            <w:r>
              <w:rPr>
                <w:rFonts w:cstheme="minorHAnsi"/>
              </w:rPr>
              <w:t>conservation.</w:t>
            </w:r>
            <w:r>
              <w:rPr>
                <w:rFonts w:hint="default" w:cstheme="minorHAnsi"/>
                <w:lang w:val="en-CA"/>
              </w:rPr>
              <w:t xml:space="preserve"> </w:t>
            </w:r>
            <w:r>
              <w:rPr>
                <w:rFonts w:cstheme="minorHAnsi"/>
              </w:rPr>
              <w:t xml:space="preserve"> The availability of</w:t>
            </w:r>
            <w:r>
              <w:rPr>
                <w:rFonts w:hint="default" w:cstheme="minorHAnsi"/>
                <w:lang w:val="en-CA"/>
              </w:rPr>
              <w:t xml:space="preserve"> </w:t>
            </w:r>
            <w:r>
              <w:rPr>
                <w:rFonts w:cstheme="minorHAnsi"/>
              </w:rPr>
              <w:t>accurate data on a district forest area is a key element for forest policy and planning within the</w:t>
            </w:r>
            <w:r>
              <w:rPr>
                <w:rFonts w:hint="default" w:cstheme="minorHAnsi"/>
                <w:lang w:val="en-CA"/>
              </w:rPr>
              <w:t xml:space="preserve"> </w:t>
            </w:r>
            <w:r>
              <w:rPr>
                <w:rFonts w:cstheme="minorHAnsi"/>
              </w:rPr>
              <w:t>context of sustainable development.</w:t>
            </w:r>
            <w:r>
              <w:rPr>
                <w:rFonts w:hint="default" w:cstheme="minorHAnsi"/>
                <w:lang w:val="en-CA"/>
              </w:rPr>
              <w:t xml:space="preserve"> </w:t>
            </w:r>
            <w:r>
              <w:rPr>
                <w:rFonts w:cstheme="minorHAnsi"/>
              </w:rPr>
              <w:t>Changes in forest area reflect the demand for land for other uses and may help identify unsustainable</w:t>
            </w:r>
            <w:r>
              <w:rPr>
                <w:rFonts w:hint="default" w:cstheme="minorHAnsi"/>
                <w:lang w:val="en-CA"/>
              </w:rPr>
              <w:t xml:space="preserve"> </w:t>
            </w:r>
            <w:r>
              <w:rPr>
                <w:rFonts w:cstheme="minorHAnsi"/>
              </w:rPr>
              <w:t>practices in the forestry and agricultural sector.</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7932748"/>
            <w:bookmarkStart w:id="27" w:name="_Toc36813076"/>
            <w:bookmarkStart w:id="28" w:name="_Toc36655613"/>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cstheme="minorHAnsi"/>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URL:</w:t>
            </w:r>
          </w:p>
          <w:p>
            <w:pPr>
              <w:autoSpaceDE w:val="0"/>
              <w:autoSpaceDN w:val="0"/>
              <w:adjustRightInd w:val="0"/>
              <w:spacing w:after="0" w:line="240" w:lineRule="auto"/>
              <w:rPr>
                <w:rFonts w:hint="default" w:cstheme="minorHAnsi"/>
                <w:lang w:val="en-CA"/>
              </w:rPr>
            </w:pPr>
            <w:r>
              <w:rPr>
                <w:rFonts w:cstheme="minorHAnsi"/>
              </w:rPr>
              <w:fldChar w:fldCharType="begin"/>
            </w:r>
            <w:r>
              <w:rPr>
                <w:rFonts w:cstheme="minorHAnsi"/>
              </w:rPr>
              <w:instrText xml:space="preserve"> HYPERLINK "http://www.fao.org/forest-resources-assessment/en/" </w:instrText>
            </w:r>
            <w:r>
              <w:rPr>
                <w:rFonts w:cstheme="minorHAnsi"/>
              </w:rPr>
              <w:fldChar w:fldCharType="separate"/>
            </w:r>
            <w:r>
              <w:rPr>
                <w:rStyle w:val="18"/>
                <w:rFonts w:cstheme="minorHAnsi"/>
              </w:rPr>
              <w:t>http://www.fao.org/forest-resources-assessment/en/</w:t>
            </w:r>
            <w:r>
              <w:rPr>
                <w:rFonts w:cstheme="minorHAnsi"/>
              </w:rPr>
              <w:fldChar w:fldCharType="end"/>
            </w:r>
            <w:r>
              <w:rPr>
                <w:rFonts w:hint="default" w:cstheme="minorHAnsi"/>
                <w:lang w:val="en-CA"/>
              </w:rPr>
              <w:t xml:space="preserve"> </w:t>
            </w:r>
          </w:p>
          <w:p>
            <w:pPr>
              <w:autoSpaceDE w:val="0"/>
              <w:autoSpaceDN w:val="0"/>
              <w:adjustRightInd w:val="0"/>
              <w:spacing w:after="0" w:line="240" w:lineRule="auto"/>
              <w:rPr>
                <w:rFonts w:hint="default" w:cstheme="minorHAnsi"/>
                <w:lang w:val="en-CA"/>
              </w:rPr>
            </w:pPr>
            <w:r>
              <w:rPr>
                <w:rFonts w:cstheme="minorHAnsi"/>
              </w:rPr>
              <w:fldChar w:fldCharType="begin"/>
            </w:r>
            <w:r>
              <w:rPr>
                <w:rFonts w:cstheme="minorHAnsi"/>
              </w:rPr>
              <w:instrText xml:space="preserve"> HYPERLINK "http://www.fao.org/forest-resources-assessment/current-assessment/en/" </w:instrText>
            </w:r>
            <w:r>
              <w:rPr>
                <w:rFonts w:cstheme="minorHAnsi"/>
              </w:rPr>
              <w:fldChar w:fldCharType="separate"/>
            </w:r>
            <w:r>
              <w:rPr>
                <w:rStyle w:val="18"/>
                <w:rFonts w:cstheme="minorHAnsi"/>
              </w:rPr>
              <w:t>http://www.fao.org/forest-resources-assessment/current-assessment/en/</w:t>
            </w:r>
            <w:r>
              <w:rPr>
                <w:rFonts w:cstheme="minorHAnsi"/>
              </w:rPr>
              <w:fldChar w:fldCharType="end"/>
            </w:r>
            <w:r>
              <w:rPr>
                <w:rFonts w:hint="default" w:cstheme="minorHAnsi"/>
                <w:lang w:val="en-CA"/>
              </w:rPr>
              <w:t xml:space="preserve"> </w:t>
            </w:r>
          </w:p>
          <w:p>
            <w:pPr>
              <w:rPr>
                <w:rFonts w:hint="default"/>
                <w:lang w:val="en-CA"/>
              </w:rPr>
            </w:pPr>
            <w:r>
              <w:rPr>
                <w:rFonts w:cstheme="minorHAnsi"/>
              </w:rPr>
              <w:fldChar w:fldCharType="begin"/>
            </w:r>
            <w:r>
              <w:rPr>
                <w:rFonts w:cstheme="minorHAnsi"/>
              </w:rPr>
              <w:instrText xml:space="preserve"> HYPERLINK "http://www.fao.org/3/a-au190e.pdf." </w:instrText>
            </w:r>
            <w:r>
              <w:rPr>
                <w:rFonts w:cstheme="minorHAnsi"/>
              </w:rPr>
              <w:fldChar w:fldCharType="separate"/>
            </w:r>
            <w:r>
              <w:rPr>
                <w:rStyle w:val="18"/>
                <w:rFonts w:cstheme="minorHAnsi"/>
              </w:rPr>
              <w:t>http://www.fao.org/3/a-au190e.pdf.</w:t>
            </w:r>
            <w:r>
              <w:rPr>
                <w:rFonts w:cstheme="minorHAnsi"/>
              </w:rPr>
              <w:fldChar w:fldCharType="end"/>
            </w:r>
            <w:r>
              <w:rPr>
                <w:rFonts w:hint="default" w:cstheme="minorHAnsi"/>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03D40"/>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D6A"/>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D5302"/>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C527C76"/>
    <w:rsid w:val="40E84A9A"/>
    <w:rsid w:val="45F16B79"/>
    <w:rsid w:val="4F447B50"/>
    <w:rsid w:val="655E7B7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C5765"/>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216181</Words>
  <Characters>1232237</Characters>
  <Lines>10268</Lines>
  <Paragraphs>2891</Paragraphs>
  <TotalTime>91</TotalTime>
  <ScaleCrop>false</ScaleCrop>
  <LinksUpToDate>false</LinksUpToDate>
  <CharactersWithSpaces>1445527</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2021-10-18T15:27:00Z</dcterms:created>
  <dc:creator>Fanning, Stephen B (JMD)</dc:creator>
  <cp:lastModifiedBy>Doreen</cp:lastModifiedBy>
  <cp:lastPrinted>2020-04-16T14:23:00Z</cp:lastPrinted>
  <dcterms:modified xsi:type="dcterms:W3CDTF">2022-11-12T15:30:05Z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E1A179731CF0458693EDE47538D64432</vt:lpwstr>
  </property>
</Properties>
</file>