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10.3.1, 16.b.1 Proportion of population reporting having personally felt discriminated against or harassed in the previous 12 months on the basis of a ground of discrimination prohibited under interna... (VC_VOV_DCMN)</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6812571"/>
            <w:bookmarkStart w:id="5" w:name="_Toc36812684"/>
            <w:bookmarkStart w:id="6" w:name="_Toc36655608"/>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0"/>
            </w:pPr>
            <w:r>
              <w:rPr>
                <w:rFonts w:eastAsiaTheme="minorEastAsia"/>
              </w:rPr>
              <w:t>Goal 10: Reduce inequality within and among countries</w:t>
            </w:r>
          </w:p>
        </w:tc>
      </w:tr>
      <w:permEnd w:id="5"/>
      <w:t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0"/>
              <w:rPr>
                <w:rFonts w:hint="default"/>
                <w:lang w:val="en-CA"/>
              </w:rPr>
            </w:pPr>
            <w:r>
              <w:rPr>
                <w:rFonts w:eastAsiaTheme="minorEastAsia"/>
              </w:rPr>
              <w:t>Target 10.3: Ensure equal opportunity and reduce inequalities of outcome, including by eliminating discriminatory laws, policies and practices and promoting appropriate legislation, policies and action in this regard</w:t>
            </w:r>
            <w:r>
              <w:rPr>
                <w:rFonts w:hint="default" w:eastAsiaTheme="minorEastAsia"/>
                <w:lang w:val="en-CA"/>
              </w:rPr>
              <w:t>\</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pStyle w:val="32"/>
            </w:pPr>
            <w:r>
              <w:rPr>
                <w:rFonts w:eastAsiaTheme="minorEastAsia"/>
                <w:color w:val="auto"/>
              </w:rPr>
              <w:t>Indicator 10.3.1: Proportion of population reporting having personally felt discriminated against or harassed in the previous 12 months on the basis of a ground of discrimination prohibited under international human rights law</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19"/>
              <w:rPr>
                <w:rFonts w:hint="default" w:ascii="Calibri" w:hAnsi="Calibri" w:cs="Calibri" w:eastAsiaTheme="minorEastAsia"/>
                <w:color w:val="000000"/>
                <w:sz w:val="22"/>
                <w:szCs w:val="22"/>
              </w:rPr>
            </w:pPr>
            <w:r>
              <w:rPr>
                <w:color w:val="000000"/>
                <w:sz w:val="22"/>
                <w:szCs w:val="22"/>
              </w:rPr>
              <w:t>•</w:t>
            </w:r>
            <w:r>
              <w:rPr>
                <w:rFonts w:hint="default" w:ascii="Calibri" w:hAnsi="Calibri" w:cs="Calibri" w:eastAsiaTheme="minorEastAsia"/>
                <w:color w:val="000000"/>
                <w:sz w:val="22"/>
                <w:szCs w:val="22"/>
              </w:rPr>
              <w:t xml:space="preserve"> 5.1.1 Whether or not legal frameworks are in place to promote, enforce and monitor equality and non-discrimination on the basis of sex</w:t>
            </w:r>
          </w:p>
          <w:p>
            <w:pPr>
              <w:pStyle w:val="19"/>
              <w:rPr>
                <w:rFonts w:hint="default" w:ascii="Calibri" w:hAnsi="Calibri" w:cs="Calibri" w:eastAsiaTheme="minorEastAsia"/>
                <w:color w:val="000000"/>
                <w:sz w:val="22"/>
                <w:szCs w:val="22"/>
              </w:rPr>
            </w:pPr>
            <w:r>
              <w:rPr>
                <w:rFonts w:hint="default" w:ascii="Calibri" w:hAnsi="Calibri" w:cs="Calibri" w:eastAsiaTheme="minorEastAsia"/>
                <w:color w:val="000000"/>
                <w:sz w:val="22"/>
                <w:szCs w:val="22"/>
              </w:rPr>
              <w:t>• 16.1.3 Proportion of population subjected to physical, psychological or sexual violence in the previous 12 months</w:t>
            </w:r>
          </w:p>
          <w:p>
            <w:pPr>
              <w:pStyle w:val="19"/>
              <w:rPr>
                <w:rFonts w:hint="default" w:ascii="Calibri" w:hAnsi="Calibri" w:cs="Calibri" w:eastAsiaTheme="minorEastAsia"/>
                <w:color w:val="000000"/>
                <w:sz w:val="22"/>
                <w:szCs w:val="22"/>
              </w:rPr>
            </w:pPr>
            <w:r>
              <w:rPr>
                <w:rFonts w:hint="default" w:ascii="Calibri" w:hAnsi="Calibri" w:cs="Calibri" w:eastAsiaTheme="minorEastAsia"/>
                <w:color w:val="000000"/>
                <w:sz w:val="22"/>
                <w:szCs w:val="22"/>
              </w:rPr>
              <w:t>• 16.a.1 Existence of independent national human rights institutions in compliance with the Paris Principles</w:t>
            </w:r>
          </w:p>
          <w:p>
            <w:pPr>
              <w:pStyle w:val="19"/>
            </w:pPr>
            <w:r>
              <w:rPr>
                <w:rFonts w:hint="default" w:ascii="Calibri" w:hAnsi="Calibri" w:cs="Calibri" w:eastAsiaTheme="minorEastAsia"/>
                <w:color w:val="000000"/>
                <w:sz w:val="22"/>
                <w:szCs w:val="22"/>
              </w:rPr>
              <w:t>• 16.6.2 Proportion of population satisfied with their last experience of public services</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pPr>
            <w:r>
              <w:rPr>
                <w:rFonts w:eastAsia="Times New Roman" w:cs="Times New Roman"/>
                <w:color w:val="4A4A4A"/>
                <w:sz w:val="22"/>
                <w:szCs w:val="22"/>
                <w:lang w:eastAsia="en-GB"/>
              </w:rPr>
              <w:t>Office of the United Nations High Commissioner for Human Rights (OHCHR)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2685"/>
            <w:bookmarkStart w:id="9" w:name="_Toc37932744"/>
            <w:bookmarkStart w:id="10" w:name="_Toc36812572"/>
            <w:bookmarkStart w:id="11" w:name="_Toc36655609"/>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 xml:space="preserve">Ghana Statistical Service </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812686"/>
            <w:bookmarkStart w:id="15" w:name="_Toc36812573"/>
            <w:bookmarkStart w:id="16" w:name="_Toc36813073"/>
            <w:bookmarkStart w:id="17" w:name="_Toc36655610"/>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hint="default" w:ascii="Calibri" w:hAnsi="Calibri" w:cs="Calibri" w:eastAsiaTheme="minorEastAsia"/>
                <w:color w:val="4A4A4A"/>
                <w:sz w:val="22"/>
                <w:szCs w:val="22"/>
                <w:lang w:eastAsia="en-GB"/>
              </w:rPr>
            </w:pPr>
            <w:r>
              <w:rPr>
                <w:rFonts w:hint="default" w:ascii="Calibri" w:hAnsi="Calibri" w:cs="Calibri" w:eastAsiaTheme="minorEastAsia"/>
                <w:b/>
                <w:bCs/>
                <w:color w:val="4A4A4A"/>
                <w:sz w:val="22"/>
                <w:szCs w:val="22"/>
                <w:lang w:eastAsia="en-GB"/>
              </w:rPr>
              <w:t>Definition:</w:t>
            </w:r>
          </w:p>
          <w:p>
            <w:pPr>
              <w:shd w:val="clear" w:color="auto" w:fill="FFFFFF"/>
              <w:spacing w:after="0"/>
              <w:rPr>
                <w:rFonts w:hint="default" w:ascii="Calibri" w:hAnsi="Calibri" w:cs="Calibri" w:eastAsiaTheme="minorEastAsia"/>
                <w:color w:val="4A4A4A"/>
                <w:sz w:val="22"/>
                <w:szCs w:val="22"/>
                <w:lang w:eastAsia="en-GB"/>
              </w:rPr>
            </w:pPr>
            <w:r>
              <w:rPr>
                <w:rFonts w:hint="default" w:ascii="Calibri" w:hAnsi="Calibri" w:cs="Calibri" w:eastAsiaTheme="minorEastAsia"/>
                <w:color w:val="4A4A4A"/>
                <w:sz w:val="22"/>
                <w:szCs w:val="22"/>
                <w:lang w:eastAsia="en-GB"/>
              </w:rPr>
              <w:t>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pPr>
              <w:shd w:val="clear" w:color="auto" w:fill="FFFFFF"/>
              <w:spacing w:after="0"/>
              <w:rPr>
                <w:rFonts w:hint="default" w:ascii="Calibri" w:hAnsi="Calibri" w:cs="Calibri" w:eastAsiaTheme="minorEastAsia"/>
                <w:color w:val="4A4A4A"/>
                <w:sz w:val="22"/>
                <w:szCs w:val="22"/>
                <w:lang w:eastAsia="en-GB"/>
              </w:rPr>
            </w:pPr>
          </w:p>
          <w:p>
            <w:pPr>
              <w:shd w:val="clear" w:color="auto" w:fill="FFFFFF"/>
              <w:spacing w:after="0"/>
              <w:rPr>
                <w:rFonts w:hint="default" w:ascii="Calibri" w:hAnsi="Calibri" w:cs="Calibri" w:eastAsiaTheme="minorEastAsia"/>
                <w:color w:val="4A4A4A"/>
                <w:sz w:val="22"/>
                <w:szCs w:val="22"/>
                <w:lang w:eastAsia="en-GB"/>
              </w:rPr>
            </w:pPr>
            <w:r>
              <w:rPr>
                <w:rFonts w:hint="default" w:ascii="Calibri" w:hAnsi="Calibri" w:cs="Calibri" w:eastAsiaTheme="minorEastAsia"/>
                <w:b/>
                <w:bCs/>
                <w:color w:val="4A4A4A"/>
                <w:sz w:val="22"/>
                <w:szCs w:val="22"/>
                <w:lang w:eastAsia="en-GB"/>
              </w:rPr>
              <w:t>Concepts:</w:t>
            </w:r>
          </w:p>
          <w:p>
            <w:pPr>
              <w:rPr>
                <w:rFonts w:hint="default" w:ascii="Calibri" w:hAnsi="Calibri" w:cs="Calibri" w:eastAsiaTheme="minorEastAsia"/>
                <w:sz w:val="22"/>
                <w:szCs w:val="22"/>
                <w:lang w:eastAsia="zh-CN"/>
              </w:rPr>
            </w:pPr>
            <w:r>
              <w:rPr>
                <w:rFonts w:hint="default" w:ascii="Calibri" w:hAnsi="Calibri" w:cs="Calibri" w:eastAsiaTheme="minorEastAsia"/>
                <w:sz w:val="22"/>
                <w:szCs w:val="22"/>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w:t>
            </w:r>
            <w:r>
              <w:rPr>
                <w:rStyle w:val="14"/>
                <w:rFonts w:hint="default" w:ascii="Calibri" w:hAnsi="Calibri" w:cs="Calibri" w:eastAsiaTheme="minorEastAsia"/>
                <w:sz w:val="22"/>
                <w:szCs w:val="22"/>
              </w:rPr>
              <w:footnoteReference w:id="1"/>
            </w:r>
            <w:r>
              <w:rPr>
                <w:rFonts w:hint="default" w:ascii="Calibri" w:hAnsi="Calibri" w:cs="Calibri" w:eastAsiaTheme="minorEastAsia"/>
                <w:sz w:val="22"/>
                <w:szCs w:val="22"/>
              </w:rPr>
              <w:t xml:space="preserve">  Harassment is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behaviours, harassment can take the form of a single incident.</w:t>
            </w:r>
            <w:r>
              <w:rPr>
                <w:rStyle w:val="14"/>
                <w:rFonts w:hint="default" w:ascii="Calibri" w:hAnsi="Calibri" w:cs="Calibri" w:eastAsiaTheme="minorEastAsia"/>
                <w:sz w:val="22"/>
                <w:szCs w:val="22"/>
              </w:rPr>
              <w:footnoteReference w:id="2"/>
            </w:r>
          </w:p>
          <w:p>
            <w:pPr>
              <w:rPr>
                <w:rFonts w:hint="default" w:ascii="Calibri" w:hAnsi="Calibri" w:cs="Calibri" w:eastAsiaTheme="minorEastAsia"/>
                <w:sz w:val="22"/>
                <w:szCs w:val="22"/>
              </w:rPr>
            </w:pPr>
          </w:p>
          <w:p>
            <w:r>
              <w:rPr>
                <w:rFonts w:hint="default" w:ascii="Calibri" w:hAnsi="Calibri" w:cs="Calibri" w:eastAsiaTheme="minorEastAsia"/>
                <w:sz w:val="22"/>
                <w:szCs w:val="22"/>
              </w:rPr>
              <w:t>International human rights law provides lists of the prohibited grounds of discrimination. The inclusion of “other status” in these lists indicate that they are not exhaustive and that other grounds may be recognized by international human rights mechanisms. A review of the international human rights normative framework helps identify a list of grounds that includes race, colour,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w:t>
            </w:r>
            <w:r>
              <w:rPr>
                <w:rStyle w:val="14"/>
                <w:rFonts w:hint="default" w:ascii="Calibri" w:hAnsi="Calibri" w:cs="Calibri" w:eastAsiaTheme="minorEastAsia"/>
                <w:sz w:val="22"/>
                <w:szCs w:val="22"/>
              </w:rPr>
              <w:footnoteReference w:id="3"/>
            </w:r>
            <w:r>
              <w:rPr>
                <w:rFonts w:hint="default" w:ascii="Calibri" w:hAnsi="Calibri" w:cs="Calibri" w:eastAsiaTheme="minorEastAsia"/>
                <w:sz w:val="22"/>
                <w:szCs w:val="22"/>
              </w:rPr>
              <w:t xml:space="preserve"> In practice, it will be difficult to include all potentially relevant grounds of discrimination in household survey questions. For this reason, it is recommended that data collectors identify contextually relevant and feasible lists of grounds, drawing on the illustrative list and formulation of prohibited grounds of discrimination outlined in the methodology section below, and add an “other” category to reflect other grounds that may not have been listed explicitly.</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6813074"/>
            <w:bookmarkStart w:id="19" w:name="_Toc37932746"/>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cstheme="minorHAnsi"/>
              </w:rPr>
            </w:pPr>
            <w:r>
              <w:rPr>
                <w:rFonts w:cstheme="minorHAnsi"/>
              </w:rPr>
              <w:t>G</w:t>
            </w:r>
            <w:r>
              <w:rPr>
                <w:rFonts w:hint="default" w:cstheme="minorHAnsi"/>
                <w:lang w:val="en-CA"/>
              </w:rPr>
              <w:t xml:space="preserve">hana </w:t>
            </w:r>
            <w:r>
              <w:rPr>
                <w:rFonts w:cstheme="minorHAnsi"/>
              </w:rPr>
              <w:t>L</w:t>
            </w:r>
            <w:r>
              <w:rPr>
                <w:rFonts w:hint="default" w:cstheme="minorHAnsi"/>
                <w:lang w:val="en-CA"/>
              </w:rPr>
              <w:t xml:space="preserve">iving </w:t>
            </w:r>
            <w:r>
              <w:rPr>
                <w:rFonts w:cstheme="minorHAnsi"/>
              </w:rPr>
              <w:t>S</w:t>
            </w:r>
            <w:r>
              <w:rPr>
                <w:rFonts w:hint="default" w:cstheme="minorHAnsi"/>
                <w:lang w:val="en-CA"/>
              </w:rPr>
              <w:t xml:space="preserve">tandards </w:t>
            </w:r>
            <w:r>
              <w:rPr>
                <w:rFonts w:cstheme="minorHAnsi"/>
              </w:rPr>
              <w:t>S</w:t>
            </w:r>
            <w:r>
              <w:rPr>
                <w:rFonts w:hint="default" w:cstheme="minorHAnsi"/>
                <w:lang w:val="en-CA"/>
              </w:rPr>
              <w:t>urvey</w:t>
            </w:r>
            <w:r>
              <w:rPr>
                <w:rFonts w:cstheme="minorHAnsi"/>
              </w:rPr>
              <w:t xml:space="preserve"> Round 7, 2017</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7932747"/>
            <w:bookmarkStart w:id="22" w:name="_Toc36813075"/>
            <w:bookmarkStart w:id="23" w:name="_Toc36655612"/>
            <w:bookmarkStart w:id="24" w:name="_Toc36812575"/>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rPr>
                <w:rFonts w:hint="default" w:ascii="Calibri" w:hAnsi="Calibri" w:eastAsia="SimSun" w:cs="Calibri"/>
                <w:i w:val="0"/>
                <w:iCs w:val="0"/>
                <w:caps w:val="0"/>
                <w:color w:val="000000"/>
                <w:spacing w:val="0"/>
                <w:sz w:val="22"/>
                <w:szCs w:val="22"/>
              </w:rPr>
              <w:t>The pledge to leave no-one behind and eliminate discrimination is at the centre of the 2030 Agenda for Sustainable Development. The elimination of discrimination is also enshrined in the Universal Declaration of Human Rights and the core international human rights treaties. The purpose of this indicator is to measure a prevalence of discrimination based on the personal experience reported by individuals. It is considered an outcome indicator (see HR/PUB/12/5) helping to measure the effectiveness of non-discriminatory laws, policy and practices for the concerned population groups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7932748"/>
            <w:bookmarkStart w:id="28" w:name="_Toc36655613"/>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rPr>
                <w:rStyle w:val="18"/>
              </w:rPr>
            </w:pPr>
            <w:r>
              <w:rPr>
                <w:rStyle w:val="18"/>
                <w:rFonts w:hint="default"/>
              </w:rPr>
              <w:t>https://open.africa/dataset/ghana-living-standards-survey-glss-7-2017</w:t>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bookmarkStart w:id="38" w:name="_GoBack"/>
      <w:bookmarkEnd w:id="38"/>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8">
    <w:p>
      <w:pPr>
        <w:spacing w:before="0" w:after="0" w:line="259" w:lineRule="auto"/>
      </w:pPr>
      <w:r>
        <w:separator/>
      </w:r>
    </w:p>
  </w:footnote>
  <w:footnote w:type="continuationSeparator" w:id="9">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 w:id="1">
    <w:p>
      <w:pPr>
        <w:pStyle w:val="16"/>
      </w:pPr>
      <w:r>
        <w:rPr>
          <w:rStyle w:val="14"/>
        </w:rPr>
        <w:footnoteRef/>
      </w:r>
      <w:r>
        <w:t xml:space="preserve"> See, for instance, Art. 1 of the International Convention on the Elimination of All Forms of Racial Discrimination (ICERD); Art. 1 of the Convention on the Elimination of All Forms of Discrimination against Women (CEDAW); Art. 2 of the Convention on the Rights of Persons with Disabilities (CRPD); General Comment 18 of the Human Rights Committee (paragraphs 6 and 7) and General Comment 20 of the Committee on Economic, Social and Cultural Rights (paragraph 7).</w:t>
      </w:r>
    </w:p>
  </w:footnote>
  <w:footnote w:id="2">
    <w:p>
      <w:pPr>
        <w:pStyle w:val="16"/>
        <w:jc w:val="both"/>
        <w:rPr>
          <w:sz w:val="22"/>
          <w:szCs w:val="22"/>
        </w:rPr>
      </w:pPr>
      <w:r>
        <w:rPr>
          <w:rStyle w:val="14"/>
        </w:rPr>
        <w:footnoteRef/>
      </w:r>
      <w:r>
        <w:t xml:space="preserve"> See, for instance, General Comment 20 of the Committee on Economic, Social and Cultural Rights, and United Nations Secretary-General’s bulletin (ST/SGB/2008/5) on Prohibition of discrimination, harassment, including sexual harassment, and abuse of authority.</w:t>
      </w:r>
    </w:p>
  </w:footnote>
  <w:footnote w:id="3">
    <w:p>
      <w:pPr>
        <w:pStyle w:val="16"/>
      </w:pPr>
      <w:r>
        <w:rPr>
          <w:rStyle w:val="14"/>
        </w:rPr>
        <w:footnoteRef/>
      </w:r>
      <w:r>
        <w:t xml:space="preserve"> More information on the grounds of discrimination prohibited by international human rights law is available at: </w:t>
      </w:r>
      <w:r>
        <w:fldChar w:fldCharType="begin"/>
      </w:r>
      <w:r>
        <w:instrText xml:space="preserve"> HYPERLINK "http://www.ohchr.org/Documents/Issues/HRIndicators/HumanRightsStandards.pdf" </w:instrText>
      </w:r>
      <w:r>
        <w:fldChar w:fldCharType="separate"/>
      </w:r>
      <w:r>
        <w:rPr>
          <w:rStyle w:val="18"/>
        </w:rPr>
        <w:t>http://www.ohchr.org/Documents/Issues/HRIndicators/HumanRightsStandards.pdf</w:t>
      </w:r>
      <w:r>
        <w:rPr>
          <w:rStyle w:val="18"/>
        </w:rPr>
        <w:fldChar w:fldCharType="end"/>
      </w:r>
      <w:r>
        <w:t xml:space="preserve"> </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8"/>
    <w:footnote w:id="9"/>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11DF"/>
    <w:rsid w:val="0053509F"/>
    <w:rsid w:val="00535955"/>
    <w:rsid w:val="005370AC"/>
    <w:rsid w:val="00537550"/>
    <w:rsid w:val="005377B9"/>
    <w:rsid w:val="00556EDB"/>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87446"/>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1E37"/>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842215C"/>
    <w:rsid w:val="4CFF6FFD"/>
    <w:rsid w:val="56382ABD"/>
    <w:rsid w:val="67073C8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qFormat="1" w:uiPriority="99" w:semiHidden="0" w:name="header"/>
    <w:lsdException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uiPriority w:val="99"/>
    <w:pPr>
      <w:spacing w:line="240" w:lineRule="auto"/>
    </w:pPr>
    <w:rPr>
      <w:sz w:val="20"/>
      <w:szCs w:val="20"/>
    </w:rPr>
  </w:style>
  <w:style w:type="paragraph" w:styleId="9">
    <w:name w:val="annotation subject"/>
    <w:basedOn w:val="8"/>
    <w:next w:val="8"/>
    <w:link w:val="48"/>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5"/>
    <w:unhideWhenUsed/>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basedOn w:val="1"/>
    <w:semiHidden/>
    <w:unhideWhenUsed/>
    <w:uiPriority w:val="99"/>
    <w:pPr>
      <w:spacing w:before="100" w:beforeAutospacing="1" w:after="100" w:afterAutospacing="1" w:line="240" w:lineRule="auto"/>
    </w:pPr>
    <w:rPr>
      <w:rFonts w:ascii="Times New Roman" w:hAnsi="Times New Roman" w:eastAsia="Times New Roman" w:cs="Times New Roman"/>
      <w:sz w:val="24"/>
      <w:szCs w:val="24"/>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3.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44835"/>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215941</Words>
  <Characters>1230864</Characters>
  <Lines>10257</Lines>
  <Paragraphs>2887</Paragraphs>
  <TotalTime>27</TotalTime>
  <ScaleCrop>false</ScaleCrop>
  <LinksUpToDate>false</LinksUpToDate>
  <CharactersWithSpaces>1443918</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2021-11-04T12:13:00Z</dcterms:created>
  <dc:creator>Fanning, Stephen B (JMD)</dc:creator>
  <cp:lastModifiedBy>Doreen</cp:lastModifiedBy>
  <cp:lastPrinted>2020-04-16T14:23:00Z</cp:lastPrinted>
  <dcterms:modified xsi:type="dcterms:W3CDTF">2022-09-21T19:15:55Z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6DB72595C95E430E9D998D2BAC37F1AE</vt:lpwstr>
  </property>
</Properties>
</file>