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6.3.2 Proportion of bodies of water with good ambient water quality [6.3.2] (EN_H2O_WBAMBQ)</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684"/>
            <w:bookmarkStart w:id="4" w:name="_Toc36655608"/>
            <w:bookmarkStart w:id="5" w:name="_Toc37932743"/>
            <w:bookmarkStart w:id="6" w:name="_Toc36813071"/>
            <w:bookmarkStart w:id="7" w:name="_Toc368125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rPr>
                <w:rFonts w:hint="default" w:cstheme="minorHAnsi"/>
                <w:lang w:val="en-CA"/>
              </w:rPr>
            </w:pPr>
            <w:r>
              <w:rPr>
                <w:rFonts w:cstheme="minorHAnsi"/>
                <w:b w:val="0"/>
                <w:bCs w:val="0"/>
              </w:rPr>
              <w:t>Goal</w:t>
            </w:r>
            <w:r>
              <w:rPr>
                <w:rFonts w:hint="default" w:cstheme="minorHAnsi"/>
                <w:b w:val="0"/>
                <w:bCs w:val="0"/>
                <w:lang w:val="en-CA"/>
              </w:rPr>
              <w:t xml:space="preserve"> 6</w:t>
            </w:r>
            <w:r>
              <w:rPr>
                <w:rFonts w:cstheme="minorHAnsi"/>
                <w:b w:val="0"/>
                <w:bCs w:val="0"/>
              </w:rPr>
              <w:t>:</w:t>
            </w:r>
            <w:r>
              <w:rPr>
                <w:rFonts w:cstheme="minorHAnsi"/>
                <w:b/>
                <w:bCs/>
              </w:rPr>
              <w:t xml:space="preserve"> </w:t>
            </w:r>
            <w:r>
              <w:rPr>
                <w:rFonts w:cstheme="minorHAnsi"/>
              </w:rPr>
              <w:t>Ensure availability and sustainab</w:t>
            </w:r>
            <w:r>
              <w:rPr>
                <w:rFonts w:hint="default" w:cstheme="minorHAnsi"/>
                <w:lang w:val="en-CA"/>
              </w:rPr>
              <w:t>le</w:t>
            </w:r>
            <w:r>
              <w:rPr>
                <w:rFonts w:cstheme="minorHAnsi"/>
              </w:rPr>
              <w:t xml:space="preserve"> management of water and sanitation</w:t>
            </w:r>
            <w:r>
              <w:rPr>
                <w:rFonts w:hint="default" w:cstheme="minorHAnsi"/>
                <w:lang w:val="en-CA"/>
              </w:rPr>
              <w:t xml:space="preserve"> for all</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autoSpaceDE w:val="0"/>
              <w:autoSpaceDN w:val="0"/>
              <w:adjustRightInd w:val="0"/>
              <w:spacing w:after="0" w:line="240" w:lineRule="auto"/>
            </w:pPr>
            <w:r>
              <w:rPr>
                <w:rFonts w:cstheme="minorHAnsi"/>
                <w:b w:val="0"/>
                <w:bCs w:val="0"/>
              </w:rPr>
              <w:t>Target 6.3:</w:t>
            </w:r>
            <w:r>
              <w:rPr>
                <w:rFonts w:cstheme="minorHAnsi"/>
                <w:b/>
                <w:bCs/>
              </w:rPr>
              <w:t xml:space="preserve"> </w:t>
            </w:r>
            <w:r>
              <w:rPr>
                <w:rFonts w:cstheme="minorHAnsi"/>
              </w:rPr>
              <w:t>By 2030, improve water quality by reducing pollution, eliminating dumping and</w:t>
            </w:r>
            <w:r>
              <w:rPr>
                <w:rFonts w:hint="default" w:cstheme="minorHAnsi"/>
                <w:lang w:val="en-CA"/>
              </w:rPr>
              <w:t xml:space="preserve"> </w:t>
            </w:r>
            <w:r>
              <w:rPr>
                <w:rFonts w:cstheme="minorHAnsi"/>
              </w:rPr>
              <w:t>minimizing release of hazardous chemicals and materials, halving the proportion of untreated</w:t>
            </w:r>
            <w:r>
              <w:rPr>
                <w:rFonts w:hint="default" w:cstheme="minorHAnsi"/>
                <w:lang w:val="en-CA"/>
              </w:rPr>
              <w:t xml:space="preserve"> </w:t>
            </w:r>
            <w:r>
              <w:rPr>
                <w:rFonts w:cstheme="minorHAnsi"/>
              </w:rPr>
              <w:t>wastewater and substantially increasing recycling and safe reuse globally</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rPr>
            </w:pPr>
            <w:r>
              <w:rPr>
                <w:rFonts w:cstheme="minorHAnsi"/>
              </w:rPr>
              <w:t>Indicator 6.3.2: Propor</w:t>
            </w:r>
            <w:bookmarkStart w:id="38" w:name="_GoBack"/>
            <w:bookmarkEnd w:id="38"/>
            <w:r>
              <w:rPr>
                <w:rFonts w:cstheme="minorHAnsi"/>
              </w:rPr>
              <w:t>tion of bodies of water with good ambient water quality</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rPr>
                <w:lang w:val="en-CA"/>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jc w:val="left"/>
            </w:pPr>
            <w:r>
              <w:t>6.3.1</w:t>
            </w:r>
          </w:p>
          <w:p>
            <w:pPr>
              <w:jc w:val="left"/>
            </w:pPr>
            <w:r>
              <w:t>6.6.1</w:t>
            </w:r>
          </w:p>
          <w:p>
            <w:pPr>
              <w:jc w:val="left"/>
            </w:pPr>
            <w:r>
              <w:t>14.1.1</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t>United Nations Environment Programme (UNEP)</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7932744"/>
            <w:bookmarkStart w:id="10" w:name="_Toc36813072"/>
            <w:bookmarkStart w:id="11" w:name="_Toc36655609"/>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cstheme="minorHAnsi"/>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pPr>
              <w:rPr>
                <w:rFonts w:cstheme="minorHAnsi"/>
              </w:rPr>
            </w:p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7932745"/>
            <w:bookmarkStart w:id="15" w:name="_Toc36812573"/>
            <w:bookmarkStart w:id="16" w:name="_Toc36655610"/>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jc w:val="both"/>
              <w:rPr>
                <w:rFonts w:cstheme="minorHAnsi"/>
                <w:b/>
                <w:bCs/>
              </w:rPr>
            </w:pPr>
            <w:r>
              <w:rPr>
                <w:rFonts w:cstheme="minorHAnsi"/>
                <w:b/>
                <w:bCs/>
              </w:rPr>
              <w:t>Definition:</w:t>
            </w:r>
          </w:p>
          <w:p>
            <w:pPr>
              <w:autoSpaceDE w:val="0"/>
              <w:autoSpaceDN w:val="0"/>
              <w:adjustRightInd w:val="0"/>
              <w:spacing w:after="0" w:line="240" w:lineRule="auto"/>
              <w:jc w:val="both"/>
              <w:rPr>
                <w:rFonts w:cstheme="minorHAnsi"/>
              </w:rPr>
            </w:pPr>
            <w:r>
              <w:rPr>
                <w:rFonts w:cstheme="minorHAnsi"/>
              </w:rPr>
              <w:t>The indicator is defined as the proportion of water bodies in the country that have good ambient water</w:t>
            </w:r>
            <w:r>
              <w:rPr>
                <w:rFonts w:hint="default" w:cstheme="minorHAnsi"/>
                <w:lang w:val="en-CA"/>
              </w:rPr>
              <w:t xml:space="preserve"> </w:t>
            </w:r>
            <w:r>
              <w:rPr>
                <w:rFonts w:cstheme="minorHAnsi"/>
              </w:rPr>
              <w:t>quality.</w:t>
            </w:r>
          </w:p>
          <w:p>
            <w:pPr>
              <w:autoSpaceDE w:val="0"/>
              <w:autoSpaceDN w:val="0"/>
              <w:adjustRightInd w:val="0"/>
              <w:spacing w:after="0" w:line="240" w:lineRule="auto"/>
              <w:jc w:val="both"/>
              <w:rPr>
                <w:rFonts w:cstheme="minorHAnsi"/>
              </w:rPr>
            </w:pPr>
            <w:r>
              <w:rPr>
                <w:rFonts w:cstheme="minorHAnsi"/>
              </w:rPr>
              <w:t>Ambient water quality refers to natural, untreated water in rivers, lakes and ground waters</w:t>
            </w:r>
            <w:r>
              <w:rPr>
                <w:rFonts w:hint="default" w:cstheme="minorHAnsi"/>
                <w:lang w:val="en-CA"/>
              </w:rPr>
              <w:t xml:space="preserve"> </w:t>
            </w:r>
            <w:r>
              <w:rPr>
                <w:rFonts w:cstheme="minorHAnsi"/>
              </w:rPr>
              <w:t>and represents a combination of natural influences together with the impacts of all anthropogenic</w:t>
            </w:r>
            <w:r>
              <w:rPr>
                <w:rFonts w:hint="default" w:cstheme="minorHAnsi"/>
                <w:lang w:val="en-CA"/>
              </w:rPr>
              <w:t xml:space="preserve"> </w:t>
            </w:r>
            <w:r>
              <w:rPr>
                <w:rFonts w:cstheme="minorHAnsi"/>
              </w:rPr>
              <w:t>activities. The indicator relies on water quality data derived from in situ measurements and the</w:t>
            </w:r>
          </w:p>
          <w:p>
            <w:pPr>
              <w:autoSpaceDE w:val="0"/>
              <w:autoSpaceDN w:val="0"/>
              <w:adjustRightInd w:val="0"/>
              <w:spacing w:after="0" w:line="240" w:lineRule="auto"/>
              <w:jc w:val="both"/>
              <w:rPr>
                <w:rFonts w:cstheme="minorHAnsi"/>
              </w:rPr>
            </w:pPr>
            <w:r>
              <w:rPr>
                <w:rFonts w:cstheme="minorHAnsi"/>
              </w:rPr>
              <w:t xml:space="preserve">analysis of samples collected from surface and ground waters. </w:t>
            </w:r>
          </w:p>
          <w:p>
            <w:pPr>
              <w:autoSpaceDE w:val="0"/>
              <w:autoSpaceDN w:val="0"/>
              <w:adjustRightInd w:val="0"/>
              <w:spacing w:after="0" w:line="240" w:lineRule="auto"/>
              <w:jc w:val="both"/>
              <w:rPr>
                <w:rFonts w:cstheme="minorHAnsi"/>
                <w:b/>
                <w:bCs/>
              </w:rPr>
            </w:pPr>
          </w:p>
          <w:p>
            <w:pPr>
              <w:autoSpaceDE w:val="0"/>
              <w:autoSpaceDN w:val="0"/>
              <w:adjustRightInd w:val="0"/>
              <w:spacing w:after="0" w:line="240" w:lineRule="auto"/>
              <w:jc w:val="both"/>
              <w:rPr>
                <w:rFonts w:cstheme="minorHAnsi"/>
                <w:b/>
                <w:bCs/>
              </w:rPr>
            </w:pPr>
            <w:r>
              <w:rPr>
                <w:rFonts w:cstheme="minorHAnsi"/>
                <w:b/>
                <w:bCs/>
              </w:rPr>
              <w:t>Concepts</w:t>
            </w:r>
          </w:p>
          <w:p>
            <w:pPr>
              <w:autoSpaceDE w:val="0"/>
              <w:autoSpaceDN w:val="0"/>
              <w:adjustRightInd w:val="0"/>
              <w:spacing w:after="0" w:line="240" w:lineRule="auto"/>
              <w:jc w:val="both"/>
              <w:rPr>
                <w:rFonts w:cstheme="minorHAnsi"/>
              </w:rPr>
            </w:pPr>
            <w:r>
              <w:rPr>
                <w:rFonts w:cstheme="minorHAnsi"/>
              </w:rPr>
              <w:t>If at least 80% of the monitoring values for prescribed parameters</w:t>
            </w:r>
            <w:r>
              <w:rPr>
                <w:rFonts w:hint="default" w:cstheme="minorHAnsi"/>
                <w:lang w:val="en-CA"/>
              </w:rPr>
              <w:t xml:space="preserve"> </w:t>
            </w:r>
            <w:r>
              <w:rPr>
                <w:rFonts w:cstheme="minorHAnsi"/>
              </w:rPr>
              <w:t>in a water body comply with their respective target values, the water body is classified as having a</w:t>
            </w:r>
            <w:r>
              <w:rPr>
                <w:rFonts w:hint="default" w:cstheme="minorHAnsi"/>
                <w:lang w:val="en-CA"/>
              </w:rPr>
              <w:t xml:space="preserve"> </w:t>
            </w:r>
            <w:r>
              <w:rPr>
                <w:rFonts w:cstheme="minorHAnsi"/>
              </w:rPr>
              <w:t>“good” water quality status</w:t>
            </w:r>
            <w:r>
              <w:rPr>
                <w:rFonts w:cstheme="minorHAnsi"/>
                <w:b/>
                <w:bCs/>
              </w:rPr>
              <w:t xml:space="preserve">. </w:t>
            </w:r>
            <w:r>
              <w:rPr>
                <w:rFonts w:cstheme="minorHAnsi"/>
              </w:rPr>
              <w:t>Each water body is classified as being of “good” or “not good” status.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lang w:val="en-CA"/>
              </w:rPr>
            </w:pPr>
            <w:r>
              <w:rPr>
                <w:lang w:val="en-CA"/>
              </w:rPr>
              <w:t>Percent</w:t>
            </w:r>
            <w:r>
              <w:rPr>
                <w:rFonts w:hint="default"/>
                <w:lang w:val="en-CA"/>
              </w:rPr>
              <w:t xml:space="preserve">age </w:t>
            </w:r>
            <w:r>
              <w:rPr>
                <w:lang w:val="en-CA"/>
              </w:rP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jc w:val="both"/>
              <w:rPr>
                <w:rFonts w:hint="default" w:cstheme="minorHAnsi"/>
                <w:lang w:val="en-CA"/>
              </w:rPr>
            </w:pPr>
            <w:r>
              <w:rPr>
                <w:rFonts w:hint="default" w:cstheme="minorHAnsi"/>
                <w:lang w:val="en-CA"/>
              </w:rPr>
              <w:t>Ministry of Sanitation and Water Resources Medium-Term Development Plan, 2022-2025</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pPr>
              <w:rPr>
                <w:rFonts w:cstheme="minorHAnsi"/>
              </w:rPr>
            </w:p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cstheme="minorHAnsi"/>
                <w:lang w:val="en-CA"/>
              </w:rPr>
            </w:pPr>
            <w:r>
              <w:rPr>
                <w:rFonts w:hint="default" w:cstheme="minorHAnsi"/>
                <w:lang w:val="en-CA"/>
              </w:rPr>
              <w:t>Ministry of Sanitation and Water Resources (MSWR)</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7932747"/>
            <w:bookmarkStart w:id="22" w:name="_Toc36812575"/>
            <w:bookmarkStart w:id="23" w:name="_Toc36812688"/>
            <w:bookmarkStart w:id="24" w:name="_Toc368130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rPr>
            </w:pPr>
            <w:r>
              <w:rPr>
                <w:rFonts w:cstheme="minorHAnsi"/>
              </w:rPr>
              <w:t>Good ambient water quality is essential for protecting aquatic ecosystems and the services they</w:t>
            </w:r>
            <w:r>
              <w:rPr>
                <w:rFonts w:hint="default" w:cstheme="minorHAnsi"/>
                <w:lang w:val="en-CA"/>
              </w:rPr>
              <w:t xml:space="preserve"> </w:t>
            </w:r>
            <w:r>
              <w:rPr>
                <w:rFonts w:cstheme="minorHAnsi"/>
              </w:rPr>
              <w:t>provide, including: the preservation of biodiversity; the protection of human health during</w:t>
            </w:r>
            <w:r>
              <w:rPr>
                <w:rFonts w:hint="default" w:cstheme="minorHAnsi"/>
                <w:lang w:val="en-CA"/>
              </w:rPr>
              <w:t xml:space="preserve"> </w:t>
            </w:r>
            <w:r>
              <w:rPr>
                <w:rFonts w:cstheme="minorHAnsi"/>
              </w:rPr>
              <w:t>recreational use and through the provision of drinking water; the support of human nutrition</w:t>
            </w:r>
            <w:r>
              <w:rPr>
                <w:rFonts w:hint="default" w:cstheme="minorHAnsi"/>
                <w:lang w:val="en-CA"/>
              </w:rPr>
              <w:t xml:space="preserve"> </w:t>
            </w:r>
            <w:r>
              <w:rPr>
                <w:rFonts w:cstheme="minorHAnsi"/>
              </w:rPr>
              <w:t>through the provision of fish and water for irrigation; the enabling of a variety of economic</w:t>
            </w:r>
            <w:r>
              <w:rPr>
                <w:rFonts w:hint="default" w:cstheme="minorHAnsi"/>
                <w:lang w:val="en-CA"/>
              </w:rPr>
              <w:t xml:space="preserve"> </w:t>
            </w:r>
            <w:r>
              <w:rPr>
                <w:rFonts w:cstheme="minorHAnsi"/>
              </w:rPr>
              <w:t>activities; and the strengthening of the resilience of people against water-related disasters. Good</w:t>
            </w:r>
            <w:r>
              <w:rPr>
                <w:rFonts w:hint="default" w:cstheme="minorHAnsi"/>
                <w:lang w:val="en-CA"/>
              </w:rPr>
              <w:t xml:space="preserve"> </w:t>
            </w:r>
            <w:r>
              <w:rPr>
                <w:rFonts w:cstheme="minorHAnsi"/>
              </w:rPr>
              <w:t>ambient water quality is therefore closely linked to the achievement of many other Sustainable</w:t>
            </w:r>
            <w:r>
              <w:rPr>
                <w:rFonts w:hint="default" w:cstheme="minorHAnsi"/>
                <w:lang w:val="en-CA"/>
              </w:rPr>
              <w:t xml:space="preserve"> </w:t>
            </w:r>
            <w:r>
              <w:rPr>
                <w:rFonts w:cstheme="minorHAnsi"/>
              </w:rPr>
              <w:t>Development Goals</w:t>
            </w:r>
            <w:r>
              <w:rPr>
                <w:rFonts w:hint="default" w:cstheme="minorHAnsi"/>
                <w:lang w:val="en-CA"/>
              </w:rPr>
              <w:t xml:space="preserve"> (SDGs).</w:t>
            </w:r>
            <w:r>
              <w:rPr>
                <w:rFonts w:cstheme="minorHAnsi"/>
              </w:rPr>
              <w:t xml:space="preserve"> </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pPr>
              <w:rPr>
                <w:rFonts w:cstheme="minorHAnsi"/>
              </w:rPr>
            </w:p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rPr>
            </w:pPr>
            <w:r>
              <w:rPr>
                <w:rFonts w:cstheme="minorHAnsi"/>
              </w:rPr>
              <w:t>The indicator is computed as the</w:t>
            </w:r>
            <w:r>
              <w:rPr>
                <w:rFonts w:hint="default" w:cstheme="minorHAnsi"/>
                <w:lang w:val="en-CA"/>
              </w:rPr>
              <w:t xml:space="preserve"> </w:t>
            </w:r>
            <w:r>
              <w:rPr>
                <w:rFonts w:cstheme="minorHAnsi"/>
              </w:rPr>
              <w:t>proportion of the number of water bodies classified as having good quality (i.e. with at least 80 %</w:t>
            </w:r>
            <w:r>
              <w:rPr>
                <w:rFonts w:hint="default" w:cstheme="minorHAnsi"/>
                <w:lang w:val="en-CA"/>
              </w:rPr>
              <w:t xml:space="preserve"> </w:t>
            </w:r>
            <w:r>
              <w:rPr>
                <w:rFonts w:cstheme="minorHAnsi"/>
              </w:rPr>
              <w:t>compliance) to the total number of assessed water bodies, expressed as a percentage.</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pPr>
              <w:rPr>
                <w:rFonts w:cstheme="minorHAnsi"/>
              </w:rPr>
            </w:p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2576"/>
            <w:bookmarkStart w:id="27" w:name="_Toc36813076"/>
            <w:bookmarkStart w:id="28" w:name="_Toc36812689"/>
            <w:bookmarkStart w:id="29" w:name="_Toc37932748"/>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cstheme="minorHAnsi"/>
                <w:lang w:val="en-CA"/>
              </w:rPr>
            </w:pPr>
            <w:r>
              <w:rPr>
                <w:rFonts w:hint="default" w:cstheme="minorHAnsi"/>
                <w:b w:val="0"/>
                <w:bCs w:val="0"/>
                <w:lang w:val="en-CA"/>
              </w:rPr>
              <w:t>There is no available disaggregation for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pPr>
              <w:rPr>
                <w:rFonts w:cstheme="minorHAnsi"/>
              </w:rPr>
            </w:p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cstheme="minorHAnsi"/>
              </w:rPr>
            </w:pP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Sitka Subheading">
    <w:panose1 w:val="02000505000000020004"/>
    <w:charset w:val="00"/>
    <w:family w:val="auto"/>
    <w:pitch w:val="default"/>
    <w:sig w:usb0="A00002EF" w:usb1="4000204B" w:usb2="00000000" w:usb3="00000000" w:csb0="2000019F" w:csb1="00000000"/>
  </w:font>
  <w:font w:name="Open Sans">
    <w:altName w:val="Times New Roman"/>
    <w:panose1 w:val="020B0606030504020204"/>
    <w:charset w:val="00"/>
    <w:family w:val="swiss"/>
    <w:pitch w:val="default"/>
    <w:sig w:usb0="00000000" w:usb1="00000000" w:usb2="00000028"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2FEF"/>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3911"/>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4F6928"/>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3490"/>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16D2B"/>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C1617BC"/>
    <w:rsid w:val="28DA477B"/>
    <w:rsid w:val="4596443E"/>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3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3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3C3AAA"/>
    <w:rsid w:val="006153AA"/>
    <w:rsid w:val="0064052E"/>
    <w:rsid w:val="00740070"/>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16</Pages>
  <Words>217182</Words>
  <Characters>1237943</Characters>
  <Lines>10316</Lines>
  <Paragraphs>2904</Paragraphs>
  <TotalTime>3</TotalTime>
  <ScaleCrop>false</ScaleCrop>
  <LinksUpToDate>false</LinksUpToDate>
  <CharactersWithSpaces>1452221</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2021-10-26T13:43:00Z</dcterms:created>
  <dc:creator>Fanning, Stephen B (JMD)</dc:creator>
  <cp:lastModifiedBy>Doreen</cp:lastModifiedBy>
  <cp:lastPrinted>2020-04-16T14:23:00Z</cp:lastPrinted>
  <dcterms:modified xsi:type="dcterms:W3CDTF">2022-11-09T14:40:12Z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9479FC23B82B46D3914A1B66A13BD289</vt:lpwstr>
  </property>
</Properties>
</file>