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t>16.1.1 Number of victims of intentional homicide per 100,000 population [16.1.1] (VC_IHR_PSRC)</w:t>
          </w:r>
          <w:bookmarkEnd w:id="1"/>
        </w:p>
      </w:sdtContent>
    </w:sdt>
    <w:perm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40.5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pt;width:200.5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2571"/>
            <w:bookmarkStart w:id="4" w:name="_Toc37932743"/>
            <w:bookmarkStart w:id="5" w:name="_Toc36655608"/>
            <w:bookmarkStart w:id="6" w:name="_Toc36812684"/>
            <w:bookmarkStart w:id="7" w:name="_Toc36813071"/>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bidi w:val="0"/>
              <w:jc w:val="both"/>
              <w:rPr>
                <w:rFonts w:hint="default" w:asciiTheme="minorAscii" w:hAnsiTheme="minorAscii"/>
                <w:sz w:val="22"/>
                <w:szCs w:val="22"/>
              </w:rPr>
            </w:pPr>
            <w:r>
              <w:rPr>
                <w:rFonts w:hint="default" w:eastAsia="SimSun" w:cs="SimSun" w:asciiTheme="minorAscii" w:hAnsiTheme="minorAscii"/>
                <w:sz w:val="22"/>
                <w:szCs w:val="22"/>
              </w:rPr>
              <w:t>Goal 16: Promote peaceful and inclusive societies for sustainable development, provide access to justice for all and build effective, accountable and inclusive institutions at all levels</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jc w:val="both"/>
              <w:rPr>
                <w:rFonts w:cstheme="minorHAnsi"/>
              </w:rPr>
            </w:pPr>
            <w:r>
              <w:rPr>
                <w:rFonts w:cstheme="minorHAnsi"/>
                <w:b w:val="0"/>
                <w:bCs w:val="0"/>
              </w:rPr>
              <w:t>Target 16.1:</w:t>
            </w:r>
            <w:r>
              <w:rPr>
                <w:rFonts w:cstheme="minorHAnsi"/>
                <w:b/>
                <w:bCs/>
              </w:rPr>
              <w:t xml:space="preserve"> </w:t>
            </w:r>
            <w:r>
              <w:rPr>
                <w:rFonts w:cstheme="minorHAnsi"/>
              </w:rPr>
              <w:t>Significantly reduce all forms of violence and related death rates everywhere</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bidi w:val="0"/>
              <w:jc w:val="both"/>
            </w:pPr>
            <w:r>
              <w:t>Indicator 16.1.1: Number of victims of intentional homicide per 100,000 population, by sex and age</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r>
              <w:t>United Nations Office on Drugs and Crime (UNODC)</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3072"/>
            <w:bookmarkStart w:id="9" w:name="_Toc37932744"/>
            <w:bookmarkStart w:id="10" w:name="_Toc36812572"/>
            <w:bookmarkStart w:id="11" w:name="_Toc36812685"/>
            <w:bookmarkStart w:id="12" w:name="_Toc36655609"/>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rPr>
                <w:rFonts w:cstheme="minorHAnsi"/>
              </w:rPr>
            </w:p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2686"/>
            <w:bookmarkStart w:id="14" w:name="_Toc36655610"/>
            <w:bookmarkStart w:id="15" w:name="_Toc36813073"/>
            <w:bookmarkStart w:id="16" w:name="_Toc36812573"/>
            <w:bookmarkStart w:id="17" w:name="_Toc37932745"/>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autoSpaceDE w:val="0"/>
              <w:autoSpaceDN w:val="0"/>
              <w:adjustRightInd w:val="0"/>
              <w:spacing w:after="0" w:line="240" w:lineRule="auto"/>
              <w:jc w:val="both"/>
              <w:rPr>
                <w:rFonts w:hint="default" w:cstheme="minorHAnsi"/>
                <w:b/>
                <w:bCs/>
                <w:lang w:val="en-CA"/>
              </w:rPr>
            </w:pPr>
            <w:r>
              <w:rPr>
                <w:rFonts w:hint="default" w:cstheme="minorHAnsi"/>
                <w:b/>
                <w:bCs/>
                <w:lang w:val="en-CA"/>
              </w:rPr>
              <w:t>Definition:</w:t>
            </w:r>
          </w:p>
          <w:p>
            <w:pPr>
              <w:autoSpaceDE w:val="0"/>
              <w:autoSpaceDN w:val="0"/>
              <w:adjustRightInd w:val="0"/>
              <w:spacing w:after="0" w:line="240" w:lineRule="auto"/>
              <w:jc w:val="both"/>
              <w:rPr>
                <w:rFonts w:cstheme="minorHAnsi"/>
              </w:rPr>
            </w:pPr>
            <w:r>
              <w:rPr>
                <w:rFonts w:cstheme="minorHAnsi"/>
              </w:rPr>
              <w:t>The indicator is defined as the total count of victims of intentional homicide divided by the total</w:t>
            </w:r>
            <w:r>
              <w:rPr>
                <w:rFonts w:hint="default" w:cstheme="minorHAnsi"/>
                <w:lang w:val="en-CA"/>
              </w:rPr>
              <w:t xml:space="preserve"> </w:t>
            </w:r>
            <w:r>
              <w:rPr>
                <w:rFonts w:cstheme="minorHAnsi"/>
              </w:rPr>
              <w:t>population, expressed per 1,000 population.</w:t>
            </w:r>
            <w:bookmarkStart w:id="38" w:name="_GoBack"/>
            <w:bookmarkEnd w:id="38"/>
          </w:p>
          <w:p>
            <w:pPr>
              <w:autoSpaceDE w:val="0"/>
              <w:autoSpaceDN w:val="0"/>
              <w:adjustRightInd w:val="0"/>
              <w:spacing w:after="0" w:line="240" w:lineRule="auto"/>
              <w:jc w:val="both"/>
              <w:rPr>
                <w:rFonts w:cstheme="minorHAnsi"/>
              </w:rPr>
            </w:pPr>
          </w:p>
          <w:p>
            <w:pPr>
              <w:autoSpaceDE w:val="0"/>
              <w:autoSpaceDN w:val="0"/>
              <w:adjustRightInd w:val="0"/>
              <w:spacing w:after="0" w:line="240" w:lineRule="auto"/>
              <w:jc w:val="both"/>
              <w:rPr>
                <w:rFonts w:cstheme="minorHAnsi"/>
              </w:rPr>
            </w:pPr>
            <w:r>
              <w:rPr>
                <w:rFonts w:cstheme="minorHAnsi"/>
              </w:rPr>
              <w:t xml:space="preserve">In the </w:t>
            </w:r>
            <w:r>
              <w:rPr>
                <w:rFonts w:cstheme="minorHAnsi"/>
              </w:rPr>
              <w:fldChar w:fldCharType="begin"/>
            </w:r>
            <w:r>
              <w:rPr>
                <w:rFonts w:cstheme="minorHAnsi"/>
              </w:rPr>
              <w:instrText xml:space="preserve"> HYPERLINK "https://www.unodc.org/unodc/en/data-and-analysis/statistics/iccs.html" </w:instrText>
            </w:r>
            <w:r>
              <w:rPr>
                <w:rFonts w:cstheme="minorHAnsi"/>
              </w:rPr>
              <w:fldChar w:fldCharType="separate"/>
            </w:r>
            <w:r>
              <w:rPr>
                <w:rStyle w:val="18"/>
                <w:rFonts w:cstheme="minorHAnsi"/>
              </w:rPr>
              <w:t>ICCS</w:t>
            </w:r>
            <w:r>
              <w:rPr>
                <w:rFonts w:cstheme="minorHAnsi"/>
              </w:rPr>
              <w:fldChar w:fldCharType="end"/>
            </w:r>
            <w:r>
              <w:rPr>
                <w:rFonts w:cstheme="minorHAnsi"/>
              </w:rPr>
              <w:t xml:space="preserve"> intentional homicide is defined as the ‘‘Unlawful death inflicted upon a person with</w:t>
            </w:r>
            <w:r>
              <w:rPr>
                <w:rFonts w:hint="default" w:cstheme="minorHAnsi"/>
                <w:lang w:val="en-CA"/>
              </w:rPr>
              <w:t xml:space="preserve"> </w:t>
            </w:r>
            <w:r>
              <w:rPr>
                <w:rFonts w:cstheme="minorHAnsi"/>
              </w:rPr>
              <w:t xml:space="preserve">the intent to cause death or serious injury”. </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r>
              <w:rPr>
                <w:rFonts w:hint="default" w:ascii="Calibri" w:hAnsi="Calibri" w:cs="Calibri"/>
                <w:color w:val="0B0C0C"/>
                <w:shd w:val="clear" w:color="auto" w:fill="FFFFFF"/>
              </w:rPr>
              <w:t>Per 100,000 population</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7932746"/>
            <w:bookmarkStart w:id="19" w:name="_Toc36813074"/>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jc w:val="both"/>
              <w:rPr>
                <w:rFonts w:hint="default" w:cstheme="minorHAnsi"/>
                <w:lang w:val="en-CA"/>
              </w:rPr>
            </w:pPr>
            <w:r>
              <w:rPr>
                <w:rFonts w:cstheme="minorHAnsi"/>
              </w:rPr>
              <w:t>Administrative data from the records of the Criminal Justice System/District Police Service</w:t>
            </w:r>
            <w:r>
              <w:rPr>
                <w:rFonts w:hint="default" w:cstheme="minorHAnsi"/>
                <w:lang w:val="en-CA"/>
              </w:rPr>
              <w:t>.</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Ghana Police Service</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7932747"/>
            <w:bookmarkStart w:id="21" w:name="_Toc36655612"/>
            <w:bookmarkStart w:id="22" w:name="_Toc36813075"/>
            <w:bookmarkStart w:id="23" w:name="_Toc36812575"/>
            <w:bookmarkStart w:id="24" w:name="_Toc36812688"/>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autoSpaceDE w:val="0"/>
              <w:autoSpaceDN w:val="0"/>
              <w:adjustRightInd w:val="0"/>
              <w:spacing w:after="0" w:line="240" w:lineRule="auto"/>
              <w:jc w:val="both"/>
              <w:rPr>
                <w:rFonts w:cstheme="minorHAnsi"/>
              </w:rPr>
            </w:pPr>
            <w:r>
              <w:rPr>
                <w:rFonts w:cstheme="minorHAnsi"/>
              </w:rPr>
              <w:t>This indicator is widely used at national and international level</w:t>
            </w:r>
            <w:r>
              <w:rPr>
                <w:rFonts w:hint="default" w:cstheme="minorHAnsi"/>
                <w:lang w:val="en-CA"/>
              </w:rPr>
              <w:t>s</w:t>
            </w:r>
            <w:r>
              <w:rPr>
                <w:rFonts w:cstheme="minorHAnsi"/>
              </w:rPr>
              <w:t xml:space="preserve"> to measure the most extreme form</w:t>
            </w:r>
            <w:r>
              <w:rPr>
                <w:rFonts w:hint="default" w:cstheme="minorHAnsi"/>
                <w:lang w:val="en-CA"/>
              </w:rPr>
              <w:t xml:space="preserve"> </w:t>
            </w:r>
            <w:r>
              <w:rPr>
                <w:rFonts w:cstheme="minorHAnsi"/>
              </w:rPr>
              <w:t>of violent crime and</w:t>
            </w:r>
            <w:r>
              <w:rPr>
                <w:rFonts w:hint="default" w:cstheme="minorHAnsi"/>
                <w:lang w:val="en-CA"/>
              </w:rPr>
              <w:t xml:space="preserve"> </w:t>
            </w:r>
            <w:r>
              <w:rPr>
                <w:rFonts w:cstheme="minorHAnsi"/>
              </w:rPr>
              <w:t xml:space="preserve">also </w:t>
            </w:r>
            <w:r>
              <w:rPr>
                <w:rFonts w:hint="default" w:cstheme="minorHAnsi"/>
                <w:lang w:val="en-CA"/>
              </w:rPr>
              <w:t xml:space="preserve">to </w:t>
            </w:r>
            <w:r>
              <w:rPr>
                <w:rFonts w:cstheme="minorHAnsi"/>
              </w:rPr>
              <w:t>provide a direct indication of lack of security. Security from violence</w:t>
            </w:r>
            <w:r>
              <w:rPr>
                <w:rFonts w:hint="default" w:cstheme="minorHAnsi"/>
                <w:lang w:val="en-CA"/>
              </w:rPr>
              <w:t xml:space="preserve"> </w:t>
            </w:r>
            <w:r>
              <w:rPr>
                <w:rFonts w:cstheme="minorHAnsi"/>
              </w:rPr>
              <w:t>is a pre-requisite for individuals to enjoy a safe and active life and for societies and economies to</w:t>
            </w:r>
            <w:r>
              <w:rPr>
                <w:rFonts w:hint="default" w:cstheme="minorHAnsi"/>
                <w:lang w:val="en-CA"/>
              </w:rPr>
              <w:t xml:space="preserve"> </w:t>
            </w:r>
            <w:r>
              <w:rPr>
                <w:rFonts w:cstheme="minorHAnsi"/>
              </w:rPr>
              <w:t xml:space="preserve">develop freely. </w:t>
            </w:r>
          </w:p>
          <w:p>
            <w:pPr>
              <w:jc w:val="both"/>
            </w:pPr>
            <w:r>
              <w:rPr>
                <w:rFonts w:cstheme="minorHAnsi"/>
              </w:rPr>
              <w:t>Monitoring intentional homicides is necessary to better assess their causes, drivers and consequences</w:t>
            </w:r>
            <w:r>
              <w:rPr>
                <w:rFonts w:hint="default" w:cstheme="minorHAnsi"/>
                <w:lang w:val="en-CA"/>
              </w:rPr>
              <w:t xml:space="preserve"> </w:t>
            </w:r>
            <w:r>
              <w:rPr>
                <w:rFonts w:cstheme="minorHAnsi"/>
              </w:rPr>
              <w:t>and, in the longer term, to develop effective preventive measures.</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3076"/>
            <w:bookmarkStart w:id="26" w:name="_Toc36812689"/>
            <w:bookmarkStart w:id="27" w:name="_Toc36812576"/>
            <w:bookmarkStart w:id="28" w:name="_Toc36655613"/>
            <w:bookmarkStart w:id="29" w:name="_Toc37932748"/>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cstheme="minorHAnsi"/>
                <w:lang w:val="en-CA"/>
              </w:rPr>
            </w:pPr>
            <w:r>
              <w:rPr>
                <w:rFonts w:hint="default" w:cstheme="minorHAnsi"/>
                <w:lang w:val="en-CA"/>
              </w:rPr>
              <w:t>There is no available disaggregation for this indicator.</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pPr>
              <w:rPr>
                <w:rFonts w:cstheme="minorHAnsi"/>
              </w:rPr>
            </w:p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autoSpaceDE w:val="0"/>
              <w:autoSpaceDN w:val="0"/>
              <w:adjustRightInd w:val="0"/>
              <w:spacing w:after="0" w:line="240" w:lineRule="auto"/>
              <w:rPr>
                <w:rFonts w:hint="default" w:cstheme="minorHAnsi"/>
                <w:lang w:val="en-CA"/>
              </w:rPr>
            </w:pPr>
            <w:r>
              <w:rPr>
                <w:rFonts w:cstheme="minorHAnsi"/>
              </w:rPr>
              <w:fldChar w:fldCharType="begin"/>
            </w:r>
            <w:r>
              <w:rPr>
                <w:rFonts w:cstheme="minorHAnsi"/>
              </w:rPr>
              <w:instrText xml:space="preserve"> HYPERLINK "http://www.unodc.org" </w:instrText>
            </w:r>
            <w:r>
              <w:rPr>
                <w:rFonts w:cstheme="minorHAnsi"/>
              </w:rPr>
              <w:fldChar w:fldCharType="separate"/>
            </w:r>
            <w:r>
              <w:rPr>
                <w:rStyle w:val="18"/>
                <w:rFonts w:cstheme="minorHAnsi"/>
              </w:rPr>
              <w:t>www.unodc.org</w:t>
            </w:r>
            <w:r>
              <w:rPr>
                <w:rFonts w:cstheme="minorHAnsi"/>
              </w:rPr>
              <w:fldChar w:fldCharType="end"/>
            </w:r>
            <w:r>
              <w:rPr>
                <w:rFonts w:hint="default" w:cstheme="minorHAnsi"/>
                <w:lang w:val="en-CA"/>
              </w:rPr>
              <w:t xml:space="preserve"> </w:t>
            </w:r>
          </w:p>
          <w:p>
            <w:pPr>
              <w:rPr>
                <w:rFonts w:cstheme="minorHAnsi"/>
              </w:rPr>
            </w:pPr>
            <w:r>
              <w:rPr>
                <w:rFonts w:cstheme="minorHAnsi"/>
              </w:rPr>
              <w:fldChar w:fldCharType="begin"/>
            </w:r>
            <w:r>
              <w:rPr>
                <w:rFonts w:cstheme="minorHAnsi"/>
              </w:rPr>
              <w:instrText xml:space="preserve"> HYPERLINK "https://data.unodc.org/" </w:instrText>
            </w:r>
            <w:r>
              <w:rPr>
                <w:rFonts w:cstheme="minorHAnsi"/>
              </w:rPr>
              <w:fldChar w:fldCharType="separate"/>
            </w:r>
            <w:r>
              <w:rPr>
                <w:rStyle w:val="18"/>
                <w:rFonts w:cstheme="minorHAnsi"/>
              </w:rPr>
              <w:t>https://data.unodc.org/</w:t>
            </w:r>
            <w:r>
              <w:rPr>
                <w:rFonts w:cstheme="minorHAnsi"/>
              </w:rPr>
              <w:fldChar w:fldCharType="end"/>
            </w:r>
            <w:r>
              <w:rPr>
                <w:rFonts w:hint="default" w:cstheme="minorHAnsi"/>
                <w:lang w:val="en-CA"/>
              </w:rPr>
              <w:t xml:space="preserve"> </w:t>
            </w:r>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MinionPro-Regular">
    <w:altName w:val="Cambria"/>
    <w:panose1 w:val="00000000000000000000"/>
    <w:charset w:val="00"/>
    <w:family w:val="roman"/>
    <w:pitch w:val="default"/>
    <w:sig w:usb0="00000000" w:usb1="00000000" w:usb2="00000000" w:usb3="00000000" w:csb0="00000001" w:csb1="00000000"/>
  </w:font>
  <w:font w:name="Cambria">
    <w:panose1 w:val="02040503050406030204"/>
    <w:charset w:val="00"/>
    <w:family w:val="auto"/>
    <w:pitch w:val="default"/>
    <w:sig w:usb0="E00006FF" w:usb1="420024FF" w:usb2="02000000" w:usb3="00000000" w:csb0="2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23E46"/>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9634C"/>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16D23"/>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2712"/>
    <w:rsid w:val="00F75853"/>
    <w:rsid w:val="00F7784D"/>
    <w:rsid w:val="00F8144F"/>
    <w:rsid w:val="00F8462A"/>
    <w:rsid w:val="00F862A7"/>
    <w:rsid w:val="00F93763"/>
    <w:rsid w:val="00F939A2"/>
    <w:rsid w:val="00F96E8D"/>
    <w:rsid w:val="00FA20D9"/>
    <w:rsid w:val="00FB03D0"/>
    <w:rsid w:val="00FD54D7"/>
    <w:rsid w:val="00FF642D"/>
    <w:rsid w:val="347F5485"/>
    <w:rsid w:val="4081361F"/>
    <w:rsid w:val="475C6D94"/>
    <w:rsid w:val="6E211FA9"/>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3"/>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6"/>
    <w:semiHidden/>
    <w:unhideWhenUsed/>
    <w:qFormat/>
    <w:uiPriority w:val="99"/>
    <w:pPr>
      <w:spacing w:line="240" w:lineRule="auto"/>
    </w:pPr>
    <w:rPr>
      <w:sz w:val="20"/>
      <w:szCs w:val="20"/>
    </w:rPr>
  </w:style>
  <w:style w:type="paragraph" w:styleId="9">
    <w:name w:val="annotation subject"/>
    <w:basedOn w:val="8"/>
    <w:next w:val="8"/>
    <w:link w:val="47"/>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49"/>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1"/>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qFormat/>
    <w:uiPriority w:val="39"/>
    <w:pPr>
      <w:spacing w:after="100"/>
    </w:pPr>
  </w:style>
  <w:style w:type="paragraph" w:styleId="23">
    <w:name w:val="toc 2"/>
    <w:basedOn w:val="1"/>
    <w:next w:val="1"/>
    <w:unhideWhenUsed/>
    <w:qFormat/>
    <w:uiPriority w:val="39"/>
    <w:pPr>
      <w:spacing w:after="100"/>
      <w:ind w:left="220"/>
    </w:pPr>
  </w:style>
  <w:style w:type="paragraph" w:styleId="24">
    <w:name w:val="toc 3"/>
    <w:basedOn w:val="1"/>
    <w:next w:val="1"/>
    <w:unhideWhenUsed/>
    <w:qFormat/>
    <w:uiPriority w:val="39"/>
    <w:pPr>
      <w:spacing w:after="100"/>
      <w:ind w:left="440"/>
    </w:pPr>
  </w:style>
  <w:style w:type="character" w:customStyle="1" w:styleId="25">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6">
    <w:name w:val="TOC Heading"/>
    <w:basedOn w:val="2"/>
    <w:next w:val="1"/>
    <w:unhideWhenUsed/>
    <w:qFormat/>
    <w:uiPriority w:val="39"/>
    <w:pPr>
      <w:outlineLvl w:val="9"/>
    </w:pPr>
  </w:style>
  <w:style w:type="character" w:customStyle="1" w:styleId="27">
    <w:name w:val="Title Char"/>
    <w:basedOn w:val="4"/>
    <w:link w:val="21"/>
    <w:qFormat/>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qFormat/>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qFormat/>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qFormat/>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qFormat/>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qFormat/>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qFormat/>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qFormat/>
    <w:uiPriority w:val="99"/>
    <w:rPr>
      <w:rFonts w:ascii="Segoe UI" w:hAnsi="Segoe UI" w:cs="Segoe UI"/>
      <w:sz w:val="18"/>
      <w:szCs w:val="18"/>
    </w:rPr>
  </w:style>
  <w:style w:type="character" w:customStyle="1" w:styleId="44">
    <w:name w:val="Footer Char"/>
    <w:basedOn w:val="4"/>
    <w:link w:val="13"/>
    <w:qFormat/>
    <w:uiPriority w:val="99"/>
  </w:style>
  <w:style w:type="character" w:customStyle="1" w:styleId="45">
    <w:name w:val="Unresolved Mention1"/>
    <w:basedOn w:val="4"/>
    <w:semiHidden/>
    <w:unhideWhenUsed/>
    <w:qFormat/>
    <w:uiPriority w:val="99"/>
    <w:rPr>
      <w:color w:val="605E5C"/>
      <w:shd w:val="clear" w:color="auto" w:fill="E1DFDD"/>
    </w:rPr>
  </w:style>
  <w:style w:type="character" w:customStyle="1" w:styleId="46">
    <w:name w:val="Comment Text Char"/>
    <w:basedOn w:val="4"/>
    <w:link w:val="8"/>
    <w:semiHidden/>
    <w:qFormat/>
    <w:uiPriority w:val="99"/>
    <w:rPr>
      <w:sz w:val="20"/>
      <w:szCs w:val="20"/>
    </w:rPr>
  </w:style>
  <w:style w:type="character" w:customStyle="1" w:styleId="47">
    <w:name w:val="Comment Subject Char"/>
    <w:basedOn w:val="46"/>
    <w:link w:val="9"/>
    <w:semiHidden/>
    <w:qFormat/>
    <w:uiPriority w:val="99"/>
    <w:rPr>
      <w:b/>
      <w:bCs/>
      <w:sz w:val="20"/>
      <w:szCs w:val="20"/>
    </w:rPr>
  </w:style>
  <w:style w:type="character" w:styleId="48">
    <w:name w:val="Placeholder Text"/>
    <w:basedOn w:val="4"/>
    <w:semiHidden/>
    <w:qFormat/>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1">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2">
    <w:name w:val="Unresolved Mention"/>
    <w:basedOn w:val="4"/>
    <w:semiHidden/>
    <w:unhideWhenUsed/>
    <w:qFormat/>
    <w:uiPriority w:val="99"/>
    <w:rPr>
      <w:color w:val="605E5C"/>
      <w:shd w:val="clear" w:color="auto" w:fill="E1DFDD"/>
    </w:rPr>
  </w:style>
  <w:style w:type="character" w:customStyle="1" w:styleId="53">
    <w:name w:val="hidden-sm"/>
    <w:basedOn w:val="4"/>
    <w:qFormat/>
    <w:uiPriority w:val="0"/>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4.bin"/></Relationships>
</file>

<file path=word/activeX/_rels/activeX2.xml.rels><?xml version="1.0" encoding="UTF-8" standalone="yes"?>
<Relationships xmlns="http://schemas.openxmlformats.org/package/2006/relationships"><Relationship Id="rId1" Type="http://schemas.microsoft.com/office/2006/relationships/activeXControlBinary" Target="activeX1.bin"/></Relationships>
</file>

<file path=word/activeX/_rels/activeX3.xml.rels><?xml version="1.0" encoding="UTF-8" standalone="yes"?>
<Relationships xmlns="http://schemas.openxmlformats.org/package/2006/relationships"><Relationship Id="rId1" Type="http://schemas.microsoft.com/office/2006/relationships/activeXControlBinary" Target="activeX2.bin"/></Relationships>
</file>

<file path=word/activeX/_rels/activeX4.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5F5427"/>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EB1C2039-A1E2-420D-9A37-E0F60F4991A9}">
  <ds:schemaRefs/>
</ds:datastoreItem>
</file>

<file path=customXml/itemProps2.xml><?xml version="1.0" encoding="utf-8"?>
<ds:datastoreItem xmlns:ds="http://schemas.openxmlformats.org/officeDocument/2006/customXml" ds:itemID="{57E59553-E217-482E-8EE7-C905E1600DAA}">
  <ds:schemaRefs/>
</ds:datastoreItem>
</file>

<file path=customXml/itemProps3.xml><?xml version="1.0" encoding="utf-8"?>
<ds:datastoreItem xmlns:ds="http://schemas.openxmlformats.org/officeDocument/2006/customXml" ds:itemID="{1ED1DF50-B557-40DB-AB1D-53089885C6E0}">
  <ds:schemaRefs/>
</ds:datastoreItem>
</file>

<file path=customXml/itemProps4.xml><?xml version="1.0" encoding="utf-8"?>
<ds:datastoreItem xmlns:ds="http://schemas.openxmlformats.org/officeDocument/2006/customXml" ds:itemID="{4712825F-F8FB-47DE-B6A1-8CCC6E07E218}">
  <ds:schemaRefs/>
</ds:datastoreItem>
</file>

<file path=docProps/app.xml><?xml version="1.0" encoding="utf-8"?>
<Properties xmlns="http://schemas.openxmlformats.org/officeDocument/2006/extended-properties" xmlns:vt="http://schemas.openxmlformats.org/officeDocument/2006/docPropsVTypes">
  <Template>Normal</Template>
  <Company>JCON</Company>
  <Pages>13</Pages>
  <Words>216069</Words>
  <Characters>1231597</Characters>
  <Lines>10263</Lines>
  <Paragraphs>2889</Paragraphs>
  <TotalTime>41</TotalTime>
  <ScaleCrop>false</ScaleCrop>
  <LinksUpToDate>false</LinksUpToDate>
  <CharactersWithSpaces>1444777</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2021-10-18T15:30:00Z</dcterms:created>
  <dc:creator>Fanning, Stephen B (JMD)</dc:creator>
  <cp:lastModifiedBy>Doreen</cp:lastModifiedBy>
  <cp:lastPrinted>2020-04-16T14:23:00Z</cp:lastPrinted>
  <dcterms:modified xsi:type="dcterms:W3CDTF">2022-11-13T07:04:50Z</dcterms:modified>
  <cp:revision>4</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F20090577D334BB19DDF0262022C81A2</vt:lpwstr>
  </property>
</Properties>
</file>