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6.5.1 Degree of integrated water resources management implementation [6.5.1] (ER_H2O_IWRMD)</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3071"/>
            <w:bookmarkStart w:id="5" w:name="_Toc36812571"/>
            <w:bookmarkStart w:id="6" w:name="_Toc36655608"/>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rFonts w:eastAsia="SimSun" w:cstheme="minorHAnsi"/>
                <w:color w:val="000000"/>
              </w:rPr>
              <w:t>Goal 6: Ensure availability and sustainable management of water and sanitation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eastAsia="SimSun" w:cstheme="minorHAnsi"/>
                <w:color w:val="000000"/>
              </w:rPr>
              <w:t>Target 6.5: By 2030, implement integrated water resources management at all levels, including through transboundary cooperation as appropriate</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eastAsia="SimSun" w:cstheme="minorHAnsi"/>
                <w:color w:val="000000"/>
              </w:rPr>
              <w:t>Indicator 6.5.1: Degree of integrated water resources</w:t>
            </w:r>
            <w:r>
              <w:rPr>
                <w:rFonts w:hint="default" w:eastAsia="SimSun" w:cstheme="minorHAnsi"/>
                <w:color w:val="000000"/>
                <w:lang w:val="en-CA"/>
              </w:rPr>
              <w:t xml:space="preserve"> </w:t>
            </w:r>
            <w:r>
              <w:rPr>
                <w:rFonts w:eastAsia="SimSun" w:cstheme="minorHAnsi"/>
                <w:color w:val="000000"/>
              </w:rPr>
              <w:t>management</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eastAsia="SimSun" w:cstheme="minorHAnsi"/>
                <w:color w:val="000000"/>
              </w:rPr>
              <w:t>United Nations Environment Programme (UNEP)</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3072"/>
            <w:bookmarkStart w:id="10" w:name="_Toc36812572"/>
            <w:bookmarkStart w:id="11" w:name="_Toc37932744"/>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686"/>
            <w:bookmarkStart w:id="15" w:name="_Toc36812573"/>
            <w:bookmarkStart w:id="16" w:name="_Toc368130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jc w:val="both"/>
              <w:rPr>
                <w:rFonts w:asciiTheme="minorHAnsi" w:hAnsiTheme="minorHAnsi" w:cstheme="minorHAnsi"/>
                <w:b/>
                <w:bCs/>
                <w:color w:val="000000"/>
                <w:sz w:val="22"/>
                <w:szCs w:val="22"/>
              </w:rPr>
            </w:pPr>
            <w:r>
              <w:rPr>
                <w:rFonts w:asciiTheme="minorHAnsi" w:hAnsiTheme="minorHAnsi" w:cstheme="minorHAnsi"/>
                <w:b/>
                <w:bCs/>
                <w:color w:val="000000"/>
                <w:sz w:val="22"/>
                <w:szCs w:val="22"/>
              </w:rPr>
              <w:t>Definition:</w:t>
            </w:r>
          </w:p>
          <w:p>
            <w:pPr>
              <w:pStyle w:val="19"/>
              <w:jc w:val="both"/>
              <w:rPr>
                <w:rFonts w:asciiTheme="minorHAnsi" w:hAnsiTheme="minorHAnsi" w:cstheme="minorHAnsi"/>
                <w:color w:val="000000"/>
                <w:sz w:val="22"/>
                <w:szCs w:val="22"/>
              </w:rPr>
            </w:pPr>
            <w:r>
              <w:rPr>
                <w:rFonts w:asciiTheme="minorHAnsi" w:hAnsiTheme="minorHAnsi" w:cstheme="minorHAnsi"/>
                <w:color w:val="000000"/>
                <w:sz w:val="22"/>
                <w:szCs w:val="22"/>
              </w:rPr>
              <w:t xml:space="preserve">It measures the stages of development and implementation of </w:t>
            </w:r>
            <w:r>
              <w:rPr>
                <w:rFonts w:asciiTheme="minorHAnsi" w:hAnsiTheme="minorHAnsi" w:cstheme="minorHAnsi"/>
                <w:color w:val="000000"/>
                <w:sz w:val="22"/>
                <w:szCs w:val="22"/>
              </w:rPr>
              <w:fldChar w:fldCharType="begin"/>
            </w:r>
            <w:r>
              <w:rPr>
                <w:rFonts w:asciiTheme="minorHAnsi" w:hAnsiTheme="minorHAnsi" w:cstheme="minorHAnsi"/>
                <w:color w:val="000000"/>
                <w:sz w:val="22"/>
                <w:szCs w:val="22"/>
              </w:rPr>
              <w:instrText xml:space="preserve"> HYPERLINK "https://www.un.org/waterforlifedecade/iwrm.shtml" </w:instrText>
            </w:r>
            <w:r>
              <w:rPr>
                <w:rFonts w:asciiTheme="minorHAnsi" w:hAnsiTheme="minorHAnsi" w:cstheme="minorHAnsi"/>
                <w:color w:val="000000"/>
                <w:sz w:val="22"/>
                <w:szCs w:val="22"/>
              </w:rPr>
              <w:fldChar w:fldCharType="separate"/>
            </w:r>
            <w:r>
              <w:rPr>
                <w:rStyle w:val="18"/>
                <w:rFonts w:asciiTheme="minorHAnsi" w:hAnsiTheme="minorHAnsi" w:cstheme="minorHAnsi"/>
                <w:color w:val="000000"/>
                <w:sz w:val="22"/>
                <w:szCs w:val="22"/>
              </w:rPr>
              <w:t>Integrated Water Resources Management (IWRM)</w:t>
            </w:r>
            <w:r>
              <w:rPr>
                <w:rFonts w:asciiTheme="minorHAnsi" w:hAnsiTheme="minorHAnsi" w:cstheme="minorHAnsi"/>
                <w:color w:val="000000"/>
                <w:sz w:val="22"/>
                <w:szCs w:val="22"/>
              </w:rPr>
              <w:fldChar w:fldCharType="end"/>
            </w:r>
            <w:r>
              <w:rPr>
                <w:rFonts w:asciiTheme="minorHAnsi" w:hAnsiTheme="minorHAnsi" w:cstheme="minorHAnsi"/>
                <w:color w:val="000000"/>
                <w:sz w:val="22"/>
                <w:szCs w:val="22"/>
              </w:rPr>
              <w:t>.</w:t>
            </w:r>
          </w:p>
          <w:p>
            <w:pPr>
              <w:pStyle w:val="19"/>
              <w:jc w:val="both"/>
              <w:rPr>
                <w:rFonts w:asciiTheme="minorHAnsi" w:hAnsiTheme="minorHAnsi" w:cstheme="minorHAnsi"/>
                <w:b/>
                <w:bCs/>
                <w:color w:val="000000"/>
                <w:sz w:val="22"/>
                <w:szCs w:val="22"/>
              </w:rPr>
            </w:pPr>
            <w:r>
              <w:rPr>
                <w:rFonts w:asciiTheme="minorHAnsi" w:hAnsiTheme="minorHAnsi" w:cstheme="minorHAnsi"/>
                <w:b/>
                <w:bCs/>
                <w:color w:val="000000"/>
                <w:sz w:val="22"/>
                <w:szCs w:val="22"/>
              </w:rPr>
              <w:t>Concepts:</w:t>
            </w:r>
          </w:p>
          <w:p>
            <w:pPr>
              <w:pStyle w:val="19"/>
              <w:jc w:val="both"/>
              <w:rPr>
                <w:rFonts w:asciiTheme="minorHAnsi" w:hAnsiTheme="minorHAnsi" w:cstheme="minorHAnsi"/>
                <w:color w:val="000000"/>
                <w:sz w:val="22"/>
                <w:szCs w:val="22"/>
              </w:rPr>
            </w:pPr>
            <w:r>
              <w:rPr>
                <w:rFonts w:asciiTheme="minorHAnsi" w:hAnsiTheme="minorHAnsi" w:cstheme="minorHAnsi"/>
                <w:color w:val="000000"/>
                <w:sz w:val="22"/>
                <w:szCs w:val="22"/>
              </w:rPr>
              <w:t>The concept of IWRM is measured in 4 main sections, each representing key dimension of IWRM:</w:t>
            </w:r>
          </w:p>
          <w:p>
            <w:pPr>
              <w:pStyle w:val="19"/>
              <w:jc w:val="both"/>
              <w:rPr>
                <w:rFonts w:asciiTheme="minorHAnsi" w:hAnsiTheme="minorHAnsi" w:cstheme="minorHAnsi"/>
                <w:color w:val="000000"/>
                <w:sz w:val="22"/>
                <w:szCs w:val="22"/>
              </w:rPr>
            </w:pPr>
            <w:r>
              <w:rPr>
                <w:rFonts w:asciiTheme="minorHAnsi" w:hAnsiTheme="minorHAnsi" w:cstheme="minorHAnsi"/>
                <w:color w:val="000000"/>
                <w:sz w:val="22"/>
                <w:szCs w:val="22"/>
              </w:rPr>
              <w:t>1. Enabling environment: this includes the policies, laws, plans and strategies which create the ‘enabling environment’ for IWRM.</w:t>
            </w:r>
          </w:p>
          <w:p>
            <w:pPr>
              <w:pStyle w:val="19"/>
              <w:jc w:val="both"/>
              <w:rPr>
                <w:rFonts w:asciiTheme="minorHAnsi" w:hAnsiTheme="minorHAnsi" w:cstheme="minorHAnsi"/>
                <w:color w:val="000000"/>
                <w:sz w:val="22"/>
                <w:szCs w:val="22"/>
              </w:rPr>
            </w:pPr>
            <w:r>
              <w:rPr>
                <w:rFonts w:asciiTheme="minorHAnsi" w:hAnsiTheme="minorHAnsi" w:cstheme="minorHAnsi"/>
                <w:color w:val="000000"/>
                <w:sz w:val="22"/>
                <w:szCs w:val="22"/>
              </w:rPr>
              <w:t>2. Institutions and participation: includes the range and roles of political, social, economic and administrative institutions that help to support the implementation of IWRM.</w:t>
            </w:r>
          </w:p>
          <w:p>
            <w:pPr>
              <w:pStyle w:val="19"/>
              <w:jc w:val="both"/>
              <w:rPr>
                <w:rFonts w:asciiTheme="minorHAnsi" w:hAnsiTheme="minorHAnsi" w:cstheme="minorHAnsi"/>
                <w:color w:val="000000"/>
                <w:sz w:val="22"/>
                <w:szCs w:val="22"/>
              </w:rPr>
            </w:pPr>
            <w:r>
              <w:rPr>
                <w:rFonts w:asciiTheme="minorHAnsi" w:hAnsiTheme="minorHAnsi" w:cstheme="minorHAnsi"/>
                <w:color w:val="000000"/>
                <w:sz w:val="22"/>
                <w:szCs w:val="22"/>
              </w:rPr>
              <w:t>3. Management Instruments: The tools and activities that enable decision-makers and users to make rational and informed choices between alternative actions.</w:t>
            </w:r>
          </w:p>
          <w:p>
            <w:pPr>
              <w:pStyle w:val="19"/>
              <w:jc w:val="both"/>
              <w:rPr>
                <w:rFonts w:cstheme="minorHAnsi"/>
              </w:rPr>
            </w:pPr>
            <w:r>
              <w:rPr>
                <w:rFonts w:asciiTheme="minorHAnsi" w:hAnsiTheme="minorHAnsi" w:cstheme="minorHAnsi"/>
                <w:color w:val="000000"/>
                <w:sz w:val="22"/>
                <w:szCs w:val="22"/>
              </w:rPr>
              <w:t>4. Financing: Budgeting and financing made available and used for water resources development and management from various sources.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Water Resources Commission Of Ghana (WRC)</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575"/>
            <w:bookmarkStart w:id="22" w:name="_Toc37932747"/>
            <w:bookmarkStart w:id="23" w:name="_Toc368130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line="276" w:lineRule="auto"/>
              <w:jc w:val="both"/>
              <w:rPr>
                <w:rFonts w:cstheme="minorHAnsi"/>
              </w:rPr>
            </w:pPr>
            <w:r>
              <w:rPr>
                <w:rFonts w:eastAsia="Times New Roman" w:cstheme="minorHAnsi"/>
                <w:color w:val="4A4A4A"/>
                <w:shd w:val="clear" w:color="auto" w:fill="FFFFFF"/>
                <w:lang w:bidi="ar"/>
              </w:rPr>
              <w:t>The indicator provides a direct progress measurement of the first part o</w:t>
            </w:r>
            <w:bookmarkStart w:id="38" w:name="_GoBack"/>
            <w:bookmarkEnd w:id="38"/>
            <w:r>
              <w:rPr>
                <w:rFonts w:eastAsia="Times New Roman" w:cstheme="minorHAnsi"/>
                <w:color w:val="4A4A4A"/>
                <w:shd w:val="clear" w:color="auto" w:fill="FFFFFF"/>
                <w:lang w:bidi="ar"/>
              </w:rPr>
              <w:t>f Target 6.5 “…implement integrated water resources management at all levels …”. The indicator score provides an easy and understandable way of measuring progress towards the target, with ‘0’ interpreted as no implementation of IWRM, and ‘100’ interpreted as IWRM being fully implemented.</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655613"/>
            <w:bookmarkStart w:id="27" w:name="_Toc36812576"/>
            <w:bookmarkStart w:id="28" w:name="_Toc368130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34F7"/>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A44DD"/>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3B8A"/>
    <w:rsid w:val="00F2310E"/>
    <w:rsid w:val="00F54570"/>
    <w:rsid w:val="00F75853"/>
    <w:rsid w:val="00F7784D"/>
    <w:rsid w:val="00F8144F"/>
    <w:rsid w:val="00F8462A"/>
    <w:rsid w:val="00F862A7"/>
    <w:rsid w:val="00F93763"/>
    <w:rsid w:val="00F939A2"/>
    <w:rsid w:val="00F96E8D"/>
    <w:rsid w:val="00FA20D9"/>
    <w:rsid w:val="00FB03D0"/>
    <w:rsid w:val="00FD54D7"/>
    <w:rsid w:val="00FF642D"/>
    <w:rsid w:val="155C1927"/>
    <w:rsid w:val="6DA107BD"/>
    <w:rsid w:val="7D20759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Calibri" w:hAnsi="Calibri" w:eastAsia="SimSun" w:cs="Arial"/>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qFormat="1"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5"/>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2"/>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4"/>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uiPriority w:val="99"/>
    <w:pPr>
      <w:spacing w:beforeAutospacing="1" w:afterAutospacing="1"/>
    </w:pPr>
    <w:rPr>
      <w:rFonts w:ascii="Calibri" w:hAnsi="Calibri" w:eastAsia="SimSun" w:cs="Times New Roman"/>
      <w:sz w:val="24"/>
      <w:szCs w:val="24"/>
      <w:lang w:val="en-US" w:eastAsia="zh-CN" w:bidi="ar-SA"/>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DA63E6"/>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13</Pages>
  <Words>216094</Words>
  <Characters>1231736</Characters>
  <Lines>10264</Lines>
  <Paragraphs>2889</Paragraphs>
  <TotalTime>40</TotalTime>
  <ScaleCrop>false</ScaleCrop>
  <LinksUpToDate>false</LinksUpToDate>
  <CharactersWithSpaces>1444941</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2022-11-09T16:10:52Z</dcterms:modified>
  <cp:revision>14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424E5AE00FB541568C8F8353B342093A</vt:lpwstr>
  </property>
</Properties>
</file>