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17.3.1 Foreign direct investment (FDI) inflows [17.3.1] (GF_FRN_FDI)</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rPr>
                <w:rFonts w:hint="default"/>
                <w:lang w:val="en-CA"/>
              </w:rPr>
            </w:pPr>
            <w:r>
              <w:rPr>
                <w:sz w:val="22"/>
                <w:szCs w:val="22"/>
              </w:rPr>
              <w:t>Goal 17: Strengthen the means of implementation and revitalize the Global Partnership for Sustainable Developmen</w:t>
            </w:r>
            <w:r>
              <w:rPr>
                <w:rFonts w:hint="default"/>
                <w:sz w:val="22"/>
                <w:szCs w:val="22"/>
                <w:lang w:val="en-CA"/>
              </w:rPr>
              <w:t>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Target 17.3: Mobilize additional financial resources for developing countries from multiple sources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pPr>
            <w:r>
              <w:rPr>
                <w:rFonts w:eastAsia="Times New Roman" w:cs="Times New Roman"/>
                <w:color w:val="auto"/>
                <w:lang w:eastAsia="en-GB"/>
              </w:rPr>
              <w:t xml:space="preserve">Indicator 17.3.1: Foreign direct investments , official development assistance and South-South Cooperation as a proportion of gross national income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Foreign direct investment (FDI) inflows as a proportion of Gross National Income [17.3.1]</w:t>
            </w:r>
          </w:p>
          <w:p>
            <w:pPr>
              <w:rPr>
                <w:rFonts w:hint="default"/>
                <w:lang w:val="en-CA"/>
              </w:rPr>
            </w:pPr>
            <w:r>
              <w:rPr>
                <w:rFonts w:hint="default"/>
                <w:lang w:val="en-CA"/>
              </w:rPr>
              <w:t>Official Development Assistance (ODA) inflows as a percentage of national budget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10.b.1</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17.2.1</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17.3.2</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17.4.1</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17.5.1</w:t>
            </w:r>
          </w:p>
          <w:p>
            <w:r>
              <w:rPr>
                <w:rFonts w:hint="default" w:ascii="Calibri" w:hAnsi="Calibri" w:eastAsia="SimSun" w:cs="Calibri"/>
                <w:i w:val="0"/>
                <w:iCs w:val="0"/>
                <w:caps w:val="0"/>
                <w:color w:val="000000"/>
                <w:spacing w:val="0"/>
                <w:sz w:val="22"/>
                <w:szCs w:val="22"/>
              </w:rPr>
              <w:t xml:space="preserve">17.9.1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United Nations Conference on Trade and Development (UNCTAD)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lang w:val="en-CA"/>
              </w:rPr>
            </w:pPr>
            <w:r>
              <w:rPr>
                <w:rFonts w:hint="default" w:ascii="Calibri" w:hAnsi="Calibri" w:cs="Calibri"/>
                <w:b/>
                <w:bCs/>
                <w:i w:val="0"/>
                <w:iCs w:val="0"/>
                <w:caps w:val="0"/>
                <w:color w:val="000000"/>
                <w:spacing w:val="0"/>
                <w:sz w:val="22"/>
                <w:szCs w:val="22"/>
                <w:lang w:val="en-CA"/>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Loans are transfers in cash or in kind for which the recipient incurs legal debt.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A concessional transfer is one which gives something of value away. For the purposes of this indicator, a loan will be regarded as concessional if it embodies at least a 35% grant element when its service payments are discounted at 5% p.a.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Foreign direct investment (FDI) is a category of investment that reflects the objective of establishing a lasting interest by a resident enterprise in one economy (direct investor) in an enterprise (direct investment enterprise) that is resident in an economy other than that of the direct investor.</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 xml:space="preserve">Private grants are here taken to mean grants for developmental purposes from private institutions outside the recipient country, excluding commercial flows and personal transactions such as remittances.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bCs/>
                <w:lang w:val="en-CA"/>
              </w:rPr>
              <w:t>Summary of Economic and Financial Data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Bank of Ghana</w:t>
            </w:r>
            <w:r>
              <w:rPr>
                <w:rFonts w:hint="default"/>
                <w:lang w:val="en-CA"/>
              </w:rPr>
              <w:t xml:space="preserve"> (BoG)</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 xml:space="preserve">The indicator measures additional financial resources for developing countries from multiple sources. It fully complies with the </w:t>
            </w:r>
            <w:r>
              <w:rPr>
                <w:rFonts w:hint="default" w:ascii="Calibri" w:hAnsi="Calibri" w:eastAsia="SimSun" w:cs="Calibri"/>
                <w:i w:val="0"/>
                <w:iCs w:val="0"/>
                <w:caps w:val="0"/>
                <w:color w:val="000000"/>
                <w:spacing w:val="0"/>
                <w:sz w:val="22"/>
                <w:szCs w:val="22"/>
              </w:rPr>
              <w:fldChar w:fldCharType="begin"/>
            </w:r>
            <w:r>
              <w:rPr>
                <w:rFonts w:hint="default" w:ascii="Calibri" w:hAnsi="Calibri" w:eastAsia="SimSun" w:cs="Calibri"/>
                <w:i w:val="0"/>
                <w:iCs w:val="0"/>
                <w:caps w:val="0"/>
                <w:color w:val="000000"/>
                <w:spacing w:val="0"/>
                <w:sz w:val="22"/>
                <w:szCs w:val="22"/>
              </w:rPr>
              <w:instrText xml:space="preserve"> HYPERLINK "https://www.undp.org/asia-pacific/publications/executive-summary-achieving-sustainable-development-goals-era-addis-ababa-action-agenda?utm_source=EN&amp;utm_medium=GSR&amp;utm_content=US_UNDP_PaidSearch_Brand_English&amp;utm_campaign=CENTRAL&amp;c_src=CENTRAL&amp;c_src2=GSR&amp;g" </w:instrText>
            </w:r>
            <w:r>
              <w:rPr>
                <w:rFonts w:hint="default" w:ascii="Calibri" w:hAnsi="Calibri" w:eastAsia="SimSun" w:cs="Calibri"/>
                <w:i w:val="0"/>
                <w:iCs w:val="0"/>
                <w:caps w:val="0"/>
                <w:color w:val="000000"/>
                <w:spacing w:val="0"/>
                <w:sz w:val="22"/>
                <w:szCs w:val="22"/>
              </w:rPr>
              <w:fldChar w:fldCharType="separate"/>
            </w:r>
            <w:r>
              <w:rPr>
                <w:rStyle w:val="18"/>
                <w:rFonts w:hint="default" w:ascii="Calibri" w:hAnsi="Calibri" w:eastAsia="SimSun" w:cs="Calibri"/>
                <w:i w:val="0"/>
                <w:iCs w:val="0"/>
                <w:caps w:val="0"/>
                <w:color w:val="000000"/>
                <w:spacing w:val="0"/>
                <w:sz w:val="22"/>
                <w:szCs w:val="22"/>
              </w:rPr>
              <w:t xml:space="preserve">Addis Ababa Action Agenda </w:t>
            </w:r>
            <w:r>
              <w:rPr>
                <w:rFonts w:hint="default" w:ascii="Calibri" w:hAnsi="Calibri" w:eastAsia="SimSun" w:cs="Calibri"/>
                <w:i w:val="0"/>
                <w:iCs w:val="0"/>
                <w:caps w:val="0"/>
                <w:color w:val="000000"/>
                <w:spacing w:val="0"/>
                <w:sz w:val="22"/>
                <w:szCs w:val="22"/>
              </w:rPr>
              <w:fldChar w:fldCharType="end"/>
            </w:r>
            <w:r>
              <w:rPr>
                <w:rFonts w:hint="default" w:ascii="Calibri" w:hAnsi="Calibri" w:eastAsia="SimSun" w:cs="Calibri"/>
                <w:i w:val="0"/>
                <w:iCs w:val="0"/>
                <w:caps w:val="0"/>
                <w:color w:val="000000"/>
                <w:spacing w:val="0"/>
                <w:sz w:val="22"/>
                <w:szCs w:val="22"/>
              </w:rPr>
              <w:t xml:space="preserve">by distinguishing flows of different nature and concessionality that have different impacts on development, thus creating transparency.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"https://www.tossd.org/docs/reporting-instructions.pdf"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https://www.tossd.org/docs/reporting-instructions.pdf</w:t>
            </w:r>
            <w:r>
              <w:rPr>
                <w:rFonts w:hint="default" w:ascii="Calibri" w:hAnsi="Calibri" w:cs="Calibri"/>
                <w:i w:val="0"/>
                <w:iCs w:val="0"/>
                <w:caps w:val="0"/>
                <w:color w:val="000000"/>
                <w:spacing w:val="0"/>
                <w:sz w:val="22"/>
                <w:szCs w:val="22"/>
              </w:rPr>
              <w:fldChar w:fldCharType="end"/>
            </w:r>
          </w:p>
          <w:p>
            <w:pPr>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"https://www.oecd.org/investment/fdibenchmarkdefinition.htm"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https://www.oecd.org/investment/fdibenchmarkdefinition.htm</w:t>
            </w:r>
            <w:r>
              <w:rPr>
                <w:rFonts w:hint="default" w:ascii="Calibri" w:hAnsi="Calibri" w:cs="Calibri"/>
                <w:i w:val="0"/>
                <w:iCs w:val="0"/>
                <w:caps w:val="0"/>
                <w:color w:val="000000"/>
                <w:spacing w:val="0"/>
                <w:sz w:val="22"/>
                <w:szCs w:val="22"/>
              </w:rPr>
              <w:fldChar w:fldCharType="end"/>
            </w:r>
          </w:p>
          <w:p>
            <w:pPr>
              <w:rPr>
                <w:rFonts w:hint="default" w:ascii="Calibri" w:hAnsi="Calibri" w:cs="Calibri"/>
                <w:i w:val="0"/>
                <w:iCs w:val="0"/>
                <w:caps w:val="0"/>
                <w:color w:val="000000"/>
                <w:spacing w:val="0"/>
                <w:sz w:val="22"/>
                <w:szCs w:val="22"/>
                <w:lang w:val="en-CA"/>
              </w:rPr>
            </w:pP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"https://unctad.org/topic/investment/investment-statistics-and-trends"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https://unctad.org/topic/investment/investment-statistics-and-trends</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C4A"/>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3403"/>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11A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0368"/>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3080090"/>
    <w:rsid w:val="504C568B"/>
    <w:rsid w:val="55BF4B44"/>
    <w:rsid w:val="747E5C5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215428</Words>
  <Characters>1227945</Characters>
  <Lines>10232</Lines>
  <Paragraphs>2880</Paragraphs>
  <TotalTime>5</TotalTime>
  <ScaleCrop>false</ScaleCrop>
  <LinksUpToDate>false</LinksUpToDate>
  <CharactersWithSpaces>1440493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2021-11-29T11:39:00Z</dcterms:created>
  <dc:creator>Fanning, Stephen B (JMD)</dc:creator>
  <cp:lastModifiedBy>Doreen</cp:lastModifiedBy>
  <cp:lastPrinted>2020-04-16T14:23:00Z</cp:lastPrinted>
  <dcterms:modified xsi:type="dcterms:W3CDTF">2022-11-15T17:05:56Z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BFD81272EB924F14B2B28D631AABA4B0</vt:lpwstr>
  </property>
</Properties>
</file>