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F168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F168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F168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F168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F168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F168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F168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F168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F168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F168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F168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F168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F168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CBBFB2C" w:rsidR="00355460" w:rsidRPr="00E263EC" w:rsidRDefault="0061717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FE9BBD6" w:rsidR="00B66AF3" w:rsidRDefault="00617176" w:rsidP="00B66AF3">
          <w:r>
            <w:t>10.1.1 Growth rates of household expenditure or income per capita [10.1.1] (SI_HEI_TOTL)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AD05C4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55155AD" w:rsidR="0077584C" w:rsidRDefault="0061717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C1B89AD" w:rsidR="00F7784D" w:rsidRDefault="0061717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0567D2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9CA1088" w14:textId="77777777" w:rsidR="00617176" w:rsidRDefault="00617176" w:rsidP="00617176">
            <w:pPr>
              <w:pStyle w:val="MGTHeader"/>
            </w:pPr>
            <w:r>
              <w:t>Goal 10: Reduce inequality within and among countries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8DB12A8" w14:textId="77777777" w:rsidR="00617176" w:rsidRDefault="00617176" w:rsidP="00617176">
            <w:pPr>
              <w:pStyle w:val="MGTHeader"/>
            </w:pPr>
            <w:r>
              <w:t>Target 10.1: By 2030, progressively achieve and sustain income growth of the bottom 40 per cent of the population at a rate higher than the national average</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9E610A5" w14:textId="77777777" w:rsidR="00617176" w:rsidRDefault="00617176" w:rsidP="00617176">
            <w:pPr>
              <w:pStyle w:val="MGTHeader"/>
            </w:pPr>
            <w:r>
              <w:t>Indicator 10.1.1: Growth rates of household expenditure or income per capita among the bottom 40 per cent of the population and the total population</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9AC84D4" w14:textId="77777777" w:rsidR="00617176" w:rsidRDefault="00617176" w:rsidP="00617176">
            <w:pPr>
              <w:pStyle w:val="MGTHeader"/>
              <w:rPr>
                <w:rFonts w:ascii="Calibri" w:hAnsi="Calibri"/>
                <w:highlight w:val="yellow"/>
              </w:rPr>
            </w:pPr>
            <w:r>
              <w:t>1.1.1, 1.2.1, 10.2.1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5D31477" w14:textId="77777777" w:rsidR="00617176" w:rsidRDefault="00617176" w:rsidP="00617176">
            <w:pPr>
              <w:pStyle w:val="MGTHeader"/>
              <w:rPr>
                <w:color w:val="4A4A4A"/>
              </w:rPr>
            </w:pPr>
            <w: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298F7E" w:rsidR="003E7389" w:rsidRPr="009F305C" w:rsidRDefault="00AA7026"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9E03F6C" w14:textId="77777777" w:rsidR="00617176" w:rsidRDefault="00617176" w:rsidP="00617176">
            <w:pPr>
              <w:shd w:val="clear" w:color="auto" w:fill="FFFFFF"/>
              <w:spacing w:after="0"/>
              <w:rPr>
                <w:rFonts w:cs="Times New Roman"/>
                <w:color w:val="4A4A4A"/>
                <w:sz w:val="21"/>
                <w:szCs w:val="21"/>
              </w:rPr>
            </w:pPr>
            <w:r>
              <w:rPr>
                <w:rStyle w:val="Strong"/>
                <w:rFonts w:cs="Times New Roman"/>
                <w:color w:val="4A4A4A"/>
                <w:sz w:val="21"/>
                <w:szCs w:val="21"/>
              </w:rPr>
              <w:t>Definition:</w:t>
            </w:r>
          </w:p>
          <w:p w14:paraId="4AEDDA77" w14:textId="77777777" w:rsidR="00617176" w:rsidRDefault="00617176" w:rsidP="00617176">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The growth rate in the welfare aggregate of bottom 40% is computed as the annualized average growth rate in per capita real consumption or income of the bottom 40% of the income distribution in a country from household surveys over a roughly 5-year period. The national average growth rate in the welfare aggregate is computed as the annualized average growth rate in per capita real consumption or income of the total population in a country from household surveys over a roughly 5-year period.</w:t>
            </w:r>
          </w:p>
          <w:p w14:paraId="21E2E4F8" w14:textId="77777777" w:rsidR="00617176" w:rsidRDefault="00617176" w:rsidP="00617176">
            <w:pPr>
              <w:pStyle w:val="form-control-static"/>
              <w:shd w:val="clear" w:color="auto" w:fill="FFFFFF"/>
              <w:spacing w:before="0" w:beforeAutospacing="0" w:after="0" w:afterAutospacing="0"/>
              <w:rPr>
                <w:rFonts w:asciiTheme="minorHAnsi" w:hAnsiTheme="minorHAnsi"/>
                <w:color w:val="4A4A4A"/>
                <w:sz w:val="21"/>
                <w:szCs w:val="21"/>
              </w:rPr>
            </w:pPr>
          </w:p>
          <w:p w14:paraId="1876BA7D" w14:textId="77777777" w:rsidR="00617176" w:rsidRDefault="00617176" w:rsidP="00617176">
            <w:pPr>
              <w:shd w:val="clear" w:color="auto" w:fill="FFFFFF"/>
              <w:spacing w:after="0"/>
              <w:rPr>
                <w:rFonts w:cs="Times New Roman"/>
                <w:color w:val="4A4A4A"/>
                <w:sz w:val="21"/>
                <w:szCs w:val="21"/>
              </w:rPr>
            </w:pPr>
            <w:r>
              <w:rPr>
                <w:rStyle w:val="Strong"/>
                <w:rFonts w:cs="Times New Roman"/>
                <w:color w:val="4A4A4A"/>
                <w:sz w:val="21"/>
                <w:szCs w:val="21"/>
              </w:rPr>
              <w:t>Concepts:</w:t>
            </w:r>
          </w:p>
          <w:p w14:paraId="1DDD1053" w14:textId="77777777" w:rsidR="00617176" w:rsidRDefault="00617176" w:rsidP="00617176">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Promoting shared prosperity is defined as fostering income growth of the bottom 40 percent of the welfare distribution in every country and is measured by calculating the annualized growth of mean per capita real income or consumption of the bottom 40 percent. The choice of the bottom 40 percent as the target population is one of practical compromise. The bottom 40 percent differs across countries depending on the welfare distribution, and it can change over time within a country. Because boosting shared prosperity is a country-specific goal, there is no numerical target defined globally.</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A160BB" w:rsidR="0015178E" w:rsidRPr="009F305C" w:rsidRDefault="00AA7026" w:rsidP="009F305C">
            <w:r>
              <w:t>Perc</w:t>
            </w:r>
            <w:r w:rsidR="00CF1680">
              <w:t>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0A027AA" w:rsidR="0035311B" w:rsidRPr="00AA7026" w:rsidRDefault="00AA7026" w:rsidP="009F305C">
            <w:pPr>
              <w:rPr>
                <w:rFonts w:cstheme="minorHAnsi"/>
                <w:iCs/>
              </w:rPr>
            </w:pPr>
            <w:r w:rsidRPr="00AA7026">
              <w:rPr>
                <w:rFonts w:cstheme="minorHAnsi"/>
                <w:iCs/>
              </w:rPr>
              <w:t>GLSS Round 7,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7176"/>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7026"/>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168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617176"/>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617176"/>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689447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3284401">
      <w:bodyDiv w:val="1"/>
      <w:marLeft w:val="0"/>
      <w:marRight w:val="0"/>
      <w:marTop w:val="0"/>
      <w:marBottom w:val="0"/>
      <w:divBdr>
        <w:top w:val="none" w:sz="0" w:space="0" w:color="auto"/>
        <w:left w:val="none" w:sz="0" w:space="0" w:color="auto"/>
        <w:bottom w:val="none" w:sz="0" w:space="0" w:color="auto"/>
        <w:right w:val="none" w:sz="0" w:space="0" w:color="auto"/>
      </w:divBdr>
    </w:div>
    <w:div w:id="41020395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770489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849423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900995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554EE"/>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215589</Words>
  <Characters>1228860</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2021-11-04T12:00:00Z</dcterms:created>
  <dcterms:modified xsi:type="dcterms:W3CDTF">2021-11-04T12:00:00Z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