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61D3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61D3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61D3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61D3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61D3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61D3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61D3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61D3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61D3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61D3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61D3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61D3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61D3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F11E65D" w:rsidR="00355460" w:rsidRPr="00E263EC" w:rsidRDefault="00691BB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3A585E5" w:rsidR="00B66AF3" w:rsidRDefault="00691BBA" w:rsidP="00B66AF3">
          <w:r>
            <w:t>12.3.1 Global food loss index [12.3.1] (AG_FLS_IDX)</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B6DBDB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2552324" w:rsidR="0077584C" w:rsidRDefault="00691BBA"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868486B" w:rsidR="00F7784D" w:rsidRDefault="00691BB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24F7E22"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B58C9D7" w:rsidR="005377B9" w:rsidRPr="009F305C" w:rsidRDefault="00691BBA" w:rsidP="009F305C">
            <w:proofErr w:type="spellStart"/>
            <w:r>
              <w:t>Post Harvest</w:t>
            </w:r>
            <w:proofErr w:type="spellEnd"/>
            <w:r>
              <w:t xml:space="preserve"> Loss is the quantitative losses in storage, transport, harvest and marketing of agricultural produce incurred after harvest. Percentage of total production that is lost (quantitative and qualitative) during all stages of the post-harvest phases of the system for priority products. For the purpose of this report, post-</w:t>
            </w:r>
            <w:proofErr w:type="spellStart"/>
            <w:r>
              <w:t>haverst</w:t>
            </w:r>
            <w:proofErr w:type="spellEnd"/>
            <w:r>
              <w:t xml:space="preserve"> losses (PHL) are restricted to the losses that occur during harvesting, storage, transport, processing, packaging and sales.</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61770166" w14:textId="77777777" w:rsidR="00691BBA" w:rsidRPr="00691BBA" w:rsidRDefault="00F61D3C" w:rsidP="00691BBA">
            <w:pPr>
              <w:pStyle w:val="Heading1"/>
              <w:rPr>
                <w:rFonts w:asciiTheme="minorHAnsi" w:hAnsiTheme="minorHAnsi" w:cstheme="minorHAnsi"/>
                <w:color w:val="auto"/>
                <w:sz w:val="22"/>
                <w:szCs w:val="22"/>
              </w:rPr>
            </w:pPr>
            <w:hyperlink r:id="rId21" w:history="1">
              <w:r w:rsidR="00691BBA" w:rsidRPr="00691BBA">
                <w:rPr>
                  <w:rStyle w:val="hidden-sm"/>
                  <w:rFonts w:asciiTheme="minorHAnsi" w:hAnsiTheme="minorHAnsi" w:cstheme="minorHAnsi"/>
                  <w:color w:val="auto"/>
                  <w:sz w:val="22"/>
                  <w:szCs w:val="22"/>
                </w:rPr>
                <w:t xml:space="preserve">Goal 12: </w:t>
              </w:r>
              <w:r w:rsidR="00691BBA" w:rsidRPr="00691BBA">
                <w:rPr>
                  <w:rStyle w:val="Hyperlink"/>
                  <w:rFonts w:asciiTheme="minorHAnsi" w:hAnsiTheme="minorHAnsi" w:cstheme="minorHAnsi"/>
                  <w:color w:val="auto"/>
                  <w:sz w:val="22"/>
                  <w:szCs w:val="22"/>
                  <w:u w:val="none"/>
                </w:rPr>
                <w:t>Ensure sustainable consumption and production patterns</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43D7662" w14:textId="77777777" w:rsidR="00491CD0" w:rsidRDefault="00491CD0" w:rsidP="00491CD0">
            <w:pPr>
              <w:pStyle w:val="MGTHeader"/>
            </w:pPr>
            <w:r>
              <w:t>Target: 12.3 By 2030, halve per capita global food waste at the retail and consumer levels and reduce food losses along production and supply chains, including post-harvest losses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CF36B83" w14:textId="77777777" w:rsidR="00691BBA" w:rsidRPr="00691BBA" w:rsidRDefault="00691BBA" w:rsidP="00691BBA">
            <w:pPr>
              <w:pStyle w:val="Heading2"/>
              <w:rPr>
                <w:rFonts w:asciiTheme="minorHAnsi" w:hAnsiTheme="minorHAnsi" w:cstheme="minorHAnsi"/>
                <w:color w:val="auto"/>
                <w:sz w:val="22"/>
                <w:szCs w:val="22"/>
              </w:rPr>
            </w:pPr>
            <w:r w:rsidRPr="00691BBA">
              <w:rPr>
                <w:rFonts w:asciiTheme="minorHAnsi" w:hAnsiTheme="minorHAnsi" w:cstheme="minorHAnsi"/>
                <w:color w:val="auto"/>
                <w:sz w:val="22"/>
                <w:szCs w:val="22"/>
              </w:rPr>
              <w:t>Indicator 12.3.1: Global food loss index</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304A385" w:rsidR="005377B9" w:rsidRPr="009F305C" w:rsidRDefault="00491CD0" w:rsidP="009F305C">
            <w:r>
              <w:rPr>
                <w:rFonts w:cstheme="minorHAnsi"/>
                <w:sz w:val="24"/>
                <w:szCs w:val="24"/>
              </w:rPr>
              <w:t>SDG Sub-Indicator 12.3.1b:  Food Waste Index</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153964E" w14:textId="77777777" w:rsidR="00491CD0" w:rsidRDefault="00491CD0" w:rsidP="00491CD0">
            <w:pPr>
              <w:pStyle w:val="MGTHeader"/>
              <w:rPr>
                <w:color w:val="4A4A4A"/>
                <w:sz w:val="24"/>
              </w:rPr>
            </w:pPr>
            <w:r>
              <w:rPr>
                <w:rFonts w:cstheme="minorHAnsi"/>
                <w:sz w:val="24"/>
                <w:szCs w:val="24"/>
              </w:rPr>
              <w:t xml:space="preserve">The </w:t>
            </w:r>
            <w:r>
              <w:rPr>
                <w:sz w:val="24"/>
              </w:rPr>
              <w:t>Food and Agriculture Organization of the United Nations</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47002B6" w:rsidR="003E7389" w:rsidRPr="009F305C" w:rsidRDefault="00491CD0" w:rsidP="009F305C">
            <w:r>
              <w:t>Ministry of Food and Agriculture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EACF1BD" w14:textId="77777777" w:rsidR="00491CD0" w:rsidRDefault="00491CD0" w:rsidP="00491CD0">
            <w:pPr>
              <w:pStyle w:val="MText"/>
              <w:rPr>
                <w:b/>
                <w:sz w:val="24"/>
                <w:u w:val="single"/>
              </w:rPr>
            </w:pPr>
            <w:r>
              <w:rPr>
                <w:b/>
                <w:sz w:val="24"/>
                <w:u w:val="single"/>
              </w:rPr>
              <w:t>Definitions</w:t>
            </w:r>
          </w:p>
          <w:p w14:paraId="0BC2BA07" w14:textId="77777777" w:rsidR="00491CD0" w:rsidRDefault="00491CD0" w:rsidP="00491CD0">
            <w:pPr>
              <w:pStyle w:val="MText"/>
              <w:rPr>
                <w:b/>
                <w:sz w:val="24"/>
              </w:rPr>
            </w:pPr>
          </w:p>
          <w:p w14:paraId="48675444" w14:textId="77777777" w:rsidR="00491CD0" w:rsidRDefault="00491CD0" w:rsidP="00491CD0">
            <w:pPr>
              <w:pStyle w:val="MText"/>
              <w:rPr>
                <w:sz w:val="24"/>
              </w:rPr>
            </w:pPr>
            <w:r>
              <w:rPr>
                <w:b/>
                <w:color w:val="auto"/>
                <w:sz w:val="24"/>
              </w:rPr>
              <w:t xml:space="preserve">The </w:t>
            </w:r>
            <w:r>
              <w:rPr>
                <w:rFonts w:cstheme="minorHAnsi"/>
                <w:b/>
                <w:bCs/>
                <w:sz w:val="24"/>
                <w:szCs w:val="24"/>
              </w:rPr>
              <w:t xml:space="preserve">Food Loss Index </w:t>
            </w:r>
            <w:r>
              <w:rPr>
                <w:rFonts w:cstheme="minorHAnsi"/>
                <w:sz w:val="24"/>
                <w:szCs w:val="24"/>
              </w:rPr>
              <w:t xml:space="preserve">- </w:t>
            </w:r>
            <w:r>
              <w:rPr>
                <w:color w:val="auto"/>
                <w:sz w:val="24"/>
              </w:rPr>
              <w:t xml:space="preserve">Index of the changes in food </w:t>
            </w:r>
            <w:r>
              <w:rPr>
                <w:rFonts w:cstheme="minorHAnsi"/>
                <w:sz w:val="24"/>
                <w:szCs w:val="24"/>
              </w:rPr>
              <w:t>loss over time. The index covers five food groups</w:t>
            </w:r>
            <w:r>
              <w:rPr>
                <w:color w:val="auto"/>
                <w:sz w:val="24"/>
              </w:rPr>
              <w:t xml:space="preserve"> along the supply chain</w:t>
            </w:r>
            <w:r>
              <w:rPr>
                <w:rFonts w:cstheme="minorHAnsi"/>
                <w:sz w:val="24"/>
                <w:szCs w:val="24"/>
              </w:rPr>
              <w:t xml:space="preserve">. </w:t>
            </w:r>
            <w:r>
              <w:rPr>
                <w:sz w:val="24"/>
              </w:rPr>
              <w:t xml:space="preserve">The indicator is computed as a ratio of Food Loss Percentages in the current year and the Food Loss Percentages in the base year according to a standard fixed-base index formula. </w:t>
            </w:r>
          </w:p>
          <w:p w14:paraId="3F18979C" w14:textId="77777777" w:rsidR="00491CD0" w:rsidRDefault="00491CD0" w:rsidP="00491CD0">
            <w:pPr>
              <w:pStyle w:val="MText"/>
              <w:rPr>
                <w:b/>
                <w:sz w:val="24"/>
              </w:rPr>
            </w:pPr>
          </w:p>
          <w:p w14:paraId="2D7D0C85" w14:textId="77777777" w:rsidR="00491CD0" w:rsidRDefault="00491CD0" w:rsidP="00491CD0">
            <w:pPr>
              <w:pStyle w:val="MText"/>
              <w:rPr>
                <w:rFonts w:cstheme="minorHAnsi"/>
                <w:b/>
                <w:bCs/>
                <w:sz w:val="24"/>
                <w:szCs w:val="24"/>
              </w:rPr>
            </w:pPr>
            <w:r>
              <w:rPr>
                <w:rFonts w:cstheme="minorHAnsi"/>
                <w:sz w:val="24"/>
                <w:szCs w:val="24"/>
              </w:rPr>
              <w:t>Definition of food loss for SDG monitoring</w:t>
            </w:r>
            <w:r>
              <w:rPr>
                <w:rFonts w:cstheme="minorHAnsi"/>
                <w:b/>
                <w:bCs/>
                <w:sz w:val="24"/>
                <w:szCs w:val="24"/>
              </w:rPr>
              <w:t>:</w:t>
            </w:r>
          </w:p>
          <w:p w14:paraId="315623C8" w14:textId="77777777" w:rsidR="00491CD0" w:rsidRDefault="00491CD0" w:rsidP="00491CD0">
            <w:pPr>
              <w:pStyle w:val="MText"/>
              <w:rPr>
                <w:rFonts w:cstheme="minorHAnsi"/>
                <w:b/>
                <w:bCs/>
                <w:sz w:val="24"/>
                <w:szCs w:val="24"/>
              </w:rPr>
            </w:pPr>
          </w:p>
          <w:p w14:paraId="50A784D9" w14:textId="77777777" w:rsidR="00491CD0" w:rsidRDefault="00491CD0" w:rsidP="00491CD0">
            <w:pPr>
              <w:pStyle w:val="MText"/>
              <w:rPr>
                <w:sz w:val="24"/>
              </w:rPr>
            </w:pPr>
            <w:r>
              <w:rPr>
                <w:b/>
                <w:sz w:val="24"/>
              </w:rPr>
              <w:t>Food losses</w:t>
            </w:r>
            <w:r>
              <w:rPr>
                <w:rFonts w:cstheme="minorHAnsi"/>
                <w:sz w:val="24"/>
                <w:szCs w:val="24"/>
              </w:rPr>
              <w:t xml:space="preserve"> -</w:t>
            </w:r>
            <w:r>
              <w:rPr>
                <w:sz w:val="24"/>
              </w:rPr>
              <w:t xml:space="preserve"> are all the crop and livestock human-edible commodity quantities that, directly or indirectly, completely exit the post-harvest/slaughter production/supply chain by being discarded, incinerated or otherwise, and do not re-enter in any other utilization (such as animal feed, industrial use, etc.), up to, and excluding, the retail level. Losses that occur during storage, transportation and processing, also of imported quantities, are therefore all included. Losses include the commodity as a whole with its non-edible parts.</w:t>
            </w:r>
          </w:p>
          <w:p w14:paraId="45A066D4" w14:textId="77777777" w:rsidR="00491CD0" w:rsidRDefault="00491CD0" w:rsidP="00491CD0">
            <w:pPr>
              <w:pStyle w:val="MText"/>
              <w:rPr>
                <w:sz w:val="24"/>
              </w:rPr>
            </w:pPr>
          </w:p>
          <w:p w14:paraId="35959F5E" w14:textId="77777777" w:rsidR="00491CD0" w:rsidRDefault="00491CD0" w:rsidP="00491CD0">
            <w:pPr>
              <w:pStyle w:val="MText"/>
              <w:rPr>
                <w:rFonts w:cstheme="minorHAnsi"/>
                <w:b/>
                <w:bCs/>
                <w:sz w:val="24"/>
                <w:szCs w:val="24"/>
                <w:u w:val="single"/>
              </w:rPr>
            </w:pPr>
            <w:bookmarkStart w:id="18" w:name="_Hlk64545431"/>
            <w:r>
              <w:rPr>
                <w:rFonts w:cstheme="minorHAnsi"/>
                <w:b/>
                <w:bCs/>
                <w:sz w:val="24"/>
                <w:szCs w:val="24"/>
                <w:u w:val="single"/>
              </w:rPr>
              <w:t>Related concepts</w:t>
            </w:r>
          </w:p>
          <w:bookmarkEnd w:id="18"/>
          <w:p w14:paraId="480FB682" w14:textId="77777777" w:rsidR="00491CD0" w:rsidRDefault="00491CD0" w:rsidP="00491CD0">
            <w:pPr>
              <w:pStyle w:val="MText"/>
              <w:rPr>
                <w:rFonts w:cstheme="minorHAnsi"/>
                <w:b/>
                <w:bCs/>
                <w:sz w:val="24"/>
                <w:szCs w:val="24"/>
              </w:rPr>
            </w:pPr>
          </w:p>
          <w:p w14:paraId="1DD97F82" w14:textId="77777777" w:rsidR="00491CD0" w:rsidRDefault="00491CD0" w:rsidP="00491CD0">
            <w:pPr>
              <w:pStyle w:val="MText"/>
              <w:rPr>
                <w:rFonts w:cstheme="minorHAnsi"/>
                <w:sz w:val="24"/>
                <w:szCs w:val="24"/>
              </w:rPr>
            </w:pPr>
            <w:r>
              <w:rPr>
                <w:rFonts w:cstheme="minorHAnsi"/>
                <w:b/>
                <w:bCs/>
                <w:sz w:val="24"/>
                <w:szCs w:val="24"/>
              </w:rPr>
              <w:t>Food</w:t>
            </w:r>
            <w:r>
              <w:rPr>
                <w:rFonts w:cstheme="minorHAnsi"/>
                <w:sz w:val="24"/>
                <w:szCs w:val="24"/>
              </w:rPr>
              <w:t xml:space="preserve"> – is any substance, whether processed, semi-processed or raw, which is intended for human consumption, and includes drink, chewing gum and any substance which has been used in the manufacture, preparation or treatment of "food" but does not include cosmetics or tobacco or substances used only as drugs.</w:t>
            </w:r>
          </w:p>
          <w:p w14:paraId="3BFD4F61" w14:textId="77777777" w:rsidR="00491CD0" w:rsidRDefault="00491CD0" w:rsidP="00491CD0">
            <w:pPr>
              <w:pStyle w:val="MText"/>
              <w:rPr>
                <w:rFonts w:cstheme="minorHAnsi"/>
                <w:sz w:val="24"/>
                <w:szCs w:val="24"/>
              </w:rPr>
            </w:pPr>
          </w:p>
          <w:p w14:paraId="7FDB1C11" w14:textId="77777777" w:rsidR="00491CD0" w:rsidRDefault="00491CD0" w:rsidP="00491CD0">
            <w:pPr>
              <w:pStyle w:val="MText"/>
              <w:rPr>
                <w:rFonts w:cstheme="minorHAnsi"/>
                <w:sz w:val="24"/>
                <w:szCs w:val="24"/>
              </w:rPr>
            </w:pPr>
            <w:r>
              <w:rPr>
                <w:rFonts w:cstheme="minorHAnsi"/>
                <w:sz w:val="24"/>
                <w:szCs w:val="24"/>
              </w:rPr>
              <w:t xml:space="preserve"> </w:t>
            </w:r>
            <w:r>
              <w:rPr>
                <w:rFonts w:cstheme="minorHAnsi"/>
                <w:b/>
                <w:bCs/>
                <w:sz w:val="24"/>
                <w:szCs w:val="24"/>
              </w:rPr>
              <w:t>Food loss and waste (FLW)</w:t>
            </w:r>
            <w:r>
              <w:rPr>
                <w:rFonts w:cstheme="minorHAnsi"/>
                <w:sz w:val="24"/>
                <w:szCs w:val="24"/>
              </w:rPr>
              <w:t xml:space="preserve"> – is the decrease in quantity or quality of food. </w:t>
            </w:r>
          </w:p>
          <w:p w14:paraId="13D0C498" w14:textId="77777777" w:rsidR="00491CD0" w:rsidRDefault="00491CD0" w:rsidP="00491CD0">
            <w:pPr>
              <w:pStyle w:val="MText"/>
              <w:rPr>
                <w:rFonts w:cstheme="minorHAnsi"/>
                <w:sz w:val="24"/>
                <w:szCs w:val="24"/>
              </w:rPr>
            </w:pPr>
          </w:p>
          <w:p w14:paraId="4B12BDFB" w14:textId="77777777" w:rsidR="00491CD0" w:rsidRDefault="00491CD0" w:rsidP="00491CD0">
            <w:pPr>
              <w:pStyle w:val="MText"/>
              <w:rPr>
                <w:rFonts w:cstheme="minorHAnsi"/>
                <w:sz w:val="24"/>
                <w:szCs w:val="24"/>
              </w:rPr>
            </w:pPr>
            <w:r>
              <w:rPr>
                <w:rFonts w:cstheme="minorHAnsi"/>
                <w:sz w:val="24"/>
                <w:szCs w:val="24"/>
              </w:rPr>
              <w:t xml:space="preserve"> </w:t>
            </w:r>
            <w:r>
              <w:rPr>
                <w:rFonts w:cstheme="minorHAnsi"/>
                <w:b/>
                <w:bCs/>
                <w:sz w:val="24"/>
                <w:szCs w:val="24"/>
              </w:rPr>
              <w:t>Quantitative food loss and waste</w:t>
            </w:r>
            <w:r>
              <w:rPr>
                <w:rFonts w:cstheme="minorHAnsi"/>
                <w:sz w:val="24"/>
                <w:szCs w:val="24"/>
              </w:rPr>
              <w:t xml:space="preserve"> – is the decrease in mass of food. </w:t>
            </w:r>
          </w:p>
          <w:p w14:paraId="290F19F5" w14:textId="77777777" w:rsidR="00491CD0" w:rsidRDefault="00491CD0" w:rsidP="00491CD0">
            <w:pPr>
              <w:pStyle w:val="MText"/>
              <w:rPr>
                <w:rFonts w:cstheme="minorHAnsi"/>
                <w:sz w:val="24"/>
                <w:szCs w:val="24"/>
              </w:rPr>
            </w:pPr>
          </w:p>
          <w:p w14:paraId="43638254" w14:textId="77777777" w:rsidR="00491CD0" w:rsidRDefault="00491CD0" w:rsidP="00491CD0">
            <w:pPr>
              <w:pStyle w:val="MText"/>
              <w:rPr>
                <w:rFonts w:cstheme="minorHAnsi"/>
                <w:sz w:val="24"/>
                <w:szCs w:val="24"/>
              </w:rPr>
            </w:pPr>
            <w:r>
              <w:rPr>
                <w:rFonts w:cstheme="minorHAnsi"/>
                <w:b/>
                <w:bCs/>
                <w:sz w:val="24"/>
                <w:szCs w:val="24"/>
              </w:rPr>
              <w:t xml:space="preserve">Pre-harvest </w:t>
            </w:r>
            <w:r>
              <w:rPr>
                <w:rFonts w:cstheme="minorHAnsi"/>
                <w:sz w:val="24"/>
                <w:szCs w:val="24"/>
              </w:rPr>
              <w:t xml:space="preserve">constitutes the time frame between maturity and harvesting. </w:t>
            </w:r>
          </w:p>
          <w:p w14:paraId="5B8B9E71" w14:textId="77777777" w:rsidR="00491CD0" w:rsidRDefault="00491CD0" w:rsidP="00491CD0">
            <w:pPr>
              <w:pStyle w:val="MText"/>
              <w:rPr>
                <w:rFonts w:cstheme="minorHAnsi"/>
                <w:sz w:val="24"/>
                <w:szCs w:val="24"/>
              </w:rPr>
            </w:pPr>
          </w:p>
          <w:p w14:paraId="164A2B4C" w14:textId="77777777" w:rsidR="00491CD0" w:rsidRDefault="00491CD0" w:rsidP="00491CD0">
            <w:pPr>
              <w:pStyle w:val="MText"/>
              <w:rPr>
                <w:rFonts w:cstheme="minorHAnsi"/>
                <w:sz w:val="24"/>
                <w:szCs w:val="24"/>
              </w:rPr>
            </w:pPr>
            <w:r>
              <w:rPr>
                <w:rFonts w:cstheme="minorHAnsi"/>
                <w:b/>
                <w:bCs/>
                <w:sz w:val="24"/>
                <w:szCs w:val="24"/>
              </w:rPr>
              <w:t>Harvest/slaughter/catch</w:t>
            </w:r>
            <w:r>
              <w:rPr>
                <w:rFonts w:cstheme="minorHAnsi"/>
                <w:sz w:val="24"/>
                <w:szCs w:val="24"/>
              </w:rPr>
              <w:t xml:space="preserve"> refers to the act of separating the food material from the site of immediate growth or production.</w:t>
            </w:r>
          </w:p>
          <w:p w14:paraId="366BB8B5" w14:textId="77777777" w:rsidR="00491CD0" w:rsidRDefault="00491CD0" w:rsidP="00491CD0">
            <w:pPr>
              <w:pStyle w:val="MText"/>
              <w:rPr>
                <w:rFonts w:cstheme="minorHAnsi"/>
                <w:sz w:val="24"/>
                <w:szCs w:val="24"/>
              </w:rPr>
            </w:pPr>
          </w:p>
          <w:p w14:paraId="5D99D723" w14:textId="77777777" w:rsidR="00491CD0" w:rsidRDefault="00491CD0" w:rsidP="00491CD0">
            <w:pPr>
              <w:pStyle w:val="MText"/>
              <w:rPr>
                <w:b/>
                <w:sz w:val="24"/>
                <w:u w:val="single"/>
              </w:rPr>
            </w:pPr>
            <w:r>
              <w:rPr>
                <w:b/>
                <w:sz w:val="24"/>
                <w:u w:val="single"/>
              </w:rPr>
              <w:t xml:space="preserve">Food Loss Index scope </w:t>
            </w:r>
            <w:r>
              <w:rPr>
                <w:rFonts w:cstheme="minorHAnsi"/>
                <w:b/>
                <w:bCs/>
                <w:sz w:val="24"/>
                <w:szCs w:val="24"/>
                <w:u w:val="single"/>
              </w:rPr>
              <w:t>and boundaries</w:t>
            </w:r>
          </w:p>
          <w:p w14:paraId="71DF3C51" w14:textId="77777777" w:rsidR="00491CD0" w:rsidRDefault="00491CD0" w:rsidP="00491CD0">
            <w:pPr>
              <w:pStyle w:val="MText"/>
              <w:rPr>
                <w:rFonts w:cstheme="minorHAnsi"/>
                <w:sz w:val="24"/>
                <w:szCs w:val="24"/>
              </w:rPr>
            </w:pPr>
          </w:p>
          <w:p w14:paraId="1C19F121" w14:textId="77777777" w:rsidR="00491CD0" w:rsidRDefault="00491CD0" w:rsidP="00491CD0">
            <w:pPr>
              <w:pStyle w:val="MText"/>
              <w:numPr>
                <w:ilvl w:val="0"/>
                <w:numId w:val="5"/>
              </w:numPr>
              <w:rPr>
                <w:sz w:val="24"/>
              </w:rPr>
            </w:pPr>
            <w:r>
              <w:rPr>
                <w:sz w:val="24"/>
              </w:rPr>
              <w:t xml:space="preserve">The </w:t>
            </w:r>
            <w:r>
              <w:rPr>
                <w:rFonts w:cstheme="minorHAnsi"/>
                <w:sz w:val="24"/>
                <w:szCs w:val="24"/>
              </w:rPr>
              <w:t xml:space="preserve">scope of the </w:t>
            </w:r>
            <w:r>
              <w:rPr>
                <w:sz w:val="24"/>
              </w:rPr>
              <w:t xml:space="preserve">Food Loss Index </w:t>
            </w:r>
            <w:r>
              <w:rPr>
                <w:rFonts w:cstheme="minorHAnsi"/>
                <w:sz w:val="24"/>
                <w:szCs w:val="24"/>
              </w:rPr>
              <w:t>starts on the production site</w:t>
            </w:r>
            <w:r>
              <w:rPr>
                <w:sz w:val="24"/>
              </w:rPr>
              <w:t xml:space="preserve"> with postharvest</w:t>
            </w:r>
            <w:r>
              <w:rPr>
                <w:rFonts w:cstheme="minorHAnsi"/>
                <w:sz w:val="24"/>
                <w:szCs w:val="24"/>
              </w:rPr>
              <w:t>/slaughter/catch</w:t>
            </w:r>
            <w:r>
              <w:rPr>
                <w:sz w:val="24"/>
              </w:rPr>
              <w:t xml:space="preserve"> operations up to but not including the retail level,</w:t>
            </w:r>
            <w:r>
              <w:rPr>
                <w:rFonts w:cstheme="minorHAnsi"/>
                <w:sz w:val="24"/>
                <w:szCs w:val="24"/>
              </w:rPr>
              <w:t xml:space="preserve"> in line with the Food Balance Sheets conceptual framework.</w:t>
            </w:r>
          </w:p>
          <w:p w14:paraId="2A4442A6" w14:textId="77777777" w:rsidR="00491CD0" w:rsidRDefault="00491CD0" w:rsidP="00491CD0">
            <w:pPr>
              <w:pStyle w:val="MText"/>
              <w:numPr>
                <w:ilvl w:val="0"/>
                <w:numId w:val="5"/>
              </w:numPr>
              <w:rPr>
                <w:sz w:val="24"/>
              </w:rPr>
            </w:pPr>
            <w:r>
              <w:rPr>
                <w:sz w:val="24"/>
              </w:rPr>
              <w:t xml:space="preserve">The index </w:t>
            </w:r>
            <w:r>
              <w:rPr>
                <w:rFonts w:cstheme="minorHAnsi"/>
                <w:sz w:val="24"/>
                <w:szCs w:val="24"/>
              </w:rPr>
              <w:t>covers five food groups and</w:t>
            </w:r>
            <w:r>
              <w:rPr>
                <w:sz w:val="24"/>
              </w:rPr>
              <w:t xml:space="preserve"> 10 key commodities set by the countries. </w:t>
            </w:r>
          </w:p>
          <w:p w14:paraId="17BDB4F9" w14:textId="77777777" w:rsidR="00491CD0" w:rsidRDefault="00491CD0" w:rsidP="00491CD0">
            <w:pPr>
              <w:pStyle w:val="MText"/>
              <w:numPr>
                <w:ilvl w:val="0"/>
                <w:numId w:val="5"/>
              </w:numPr>
              <w:rPr>
                <w:sz w:val="24"/>
              </w:rPr>
            </w:pPr>
            <w:r>
              <w:rPr>
                <w:rFonts w:cstheme="minorHAnsi"/>
                <w:sz w:val="24"/>
                <w:szCs w:val="24"/>
              </w:rPr>
              <w:t xml:space="preserve">Harvest losses can be included in the index at the </w:t>
            </w:r>
            <w:r>
              <w:rPr>
                <w:sz w:val="24"/>
              </w:rPr>
              <w:t>country level</w:t>
            </w:r>
            <w:r>
              <w:rPr>
                <w:rFonts w:cstheme="minorHAnsi"/>
                <w:sz w:val="24"/>
                <w:szCs w:val="24"/>
              </w:rPr>
              <w:t xml:space="preserve"> only.</w:t>
            </w:r>
            <w:r>
              <w:rPr>
                <w:sz w:val="24"/>
              </w:rPr>
              <w:t xml:space="preserve"> </w:t>
            </w:r>
          </w:p>
          <w:p w14:paraId="63D45FB0" w14:textId="77777777" w:rsidR="00491CD0" w:rsidRDefault="00491CD0" w:rsidP="00491CD0">
            <w:pPr>
              <w:pStyle w:val="MText"/>
              <w:numPr>
                <w:ilvl w:val="0"/>
                <w:numId w:val="5"/>
              </w:numPr>
              <w:rPr>
                <w:sz w:val="24"/>
              </w:rPr>
            </w:pPr>
            <w:r>
              <w:rPr>
                <w:sz w:val="24"/>
              </w:rPr>
              <w:t xml:space="preserve">Pre-harvest losses are </w:t>
            </w:r>
            <w:r>
              <w:rPr>
                <w:rFonts w:cstheme="minorHAnsi"/>
                <w:sz w:val="24"/>
                <w:szCs w:val="24"/>
              </w:rPr>
              <w:t>out of scope</w:t>
            </w:r>
            <w:r>
              <w:rPr>
                <w:sz w:val="24"/>
              </w:rPr>
              <w:t>.</w:t>
            </w:r>
          </w:p>
          <w:p w14:paraId="6567DBB8" w14:textId="7C75931E" w:rsidR="00491CD0" w:rsidRDefault="00491CD0" w:rsidP="00491CD0">
            <w:pPr>
              <w:pStyle w:val="MText"/>
              <w:numPr>
                <w:ilvl w:val="0"/>
                <w:numId w:val="5"/>
              </w:numPr>
              <w:rPr>
                <w:sz w:val="24"/>
              </w:rPr>
            </w:pPr>
            <w:r>
              <w:rPr>
                <w:rFonts w:cstheme="minorHAnsi"/>
                <w:sz w:val="24"/>
                <w:szCs w:val="24"/>
              </w:rPr>
              <w:t>Sub-Indicator 12.3.1(b)</w:t>
            </w:r>
            <w:r>
              <w:rPr>
                <w:sz w:val="24"/>
              </w:rPr>
              <w:t xml:space="preserve"> Food Waste Index </w:t>
            </w:r>
            <w:r>
              <w:rPr>
                <w:rFonts w:cstheme="minorHAnsi"/>
                <w:sz w:val="24"/>
                <w:szCs w:val="24"/>
              </w:rPr>
              <w:t>covers</w:t>
            </w:r>
            <w:r>
              <w:rPr>
                <w:sz w:val="24"/>
              </w:rPr>
              <w:t xml:space="preserve"> food waste at the retail and consumption level.</w:t>
            </w:r>
          </w:p>
          <w:p w14:paraId="71712C63" w14:textId="77777777" w:rsidR="00491CD0" w:rsidRDefault="00491CD0" w:rsidP="00491CD0">
            <w:pPr>
              <w:pStyle w:val="MText"/>
              <w:ind w:left="360"/>
            </w:pPr>
          </w:p>
          <w:p w14:paraId="4599EA72" w14:textId="3F49132B" w:rsidR="00491CD0" w:rsidRDefault="00491CD0" w:rsidP="00491CD0">
            <w:pPr>
              <w:pStyle w:val="MText"/>
              <w:ind w:left="360"/>
              <w:rPr>
                <w:sz w:val="24"/>
              </w:rPr>
            </w:pPr>
            <w:r>
              <w:t xml:space="preserve">Note: Figures available are estimates. No Post-Harvest Survey has been conducted over the past 20 years. </w:t>
            </w:r>
            <w:proofErr w:type="gramStart"/>
            <w:r>
              <w:t>However</w:t>
            </w:r>
            <w:proofErr w:type="gramEnd"/>
            <w:r>
              <w:t xml:space="preserve"> a survey is to be conducted in the year 2019. </w:t>
            </w:r>
            <w:proofErr w:type="gramStart"/>
            <w:r>
              <w:t>So</w:t>
            </w:r>
            <w:proofErr w:type="gramEnd"/>
            <w:r>
              <w:t xml:space="preserve"> the current data are based on projections</w:t>
            </w:r>
          </w:p>
          <w:p w14:paraId="5C651A8D" w14:textId="77777777" w:rsidR="00491CD0" w:rsidRDefault="00491CD0" w:rsidP="00491CD0">
            <w:pPr>
              <w:pStyle w:val="MText"/>
              <w:jc w:val="center"/>
              <w:rPr>
                <w:noProof/>
              </w:rPr>
            </w:pPr>
          </w:p>
          <w:p w14:paraId="6C84E827" w14:textId="27166162" w:rsidR="00491CD0" w:rsidRPr="009F305C" w:rsidRDefault="00491CD0"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387C6D4" w:rsidR="0015178E" w:rsidRPr="009F305C" w:rsidRDefault="00691BBA"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0EEE75B" w14:textId="63851B2A" w:rsidR="00491CD0" w:rsidRPr="00F61D3C" w:rsidRDefault="00491CD0" w:rsidP="00491CD0">
            <w:pPr>
              <w:spacing w:after="120" w:line="240" w:lineRule="auto"/>
              <w:jc w:val="both"/>
              <w:rPr>
                <w:rFonts w:cstheme="minorHAnsi"/>
                <w:b/>
                <w:iCs/>
                <w:lang w:val="en-GB"/>
              </w:rPr>
            </w:pPr>
            <w:bookmarkStart w:id="21" w:name="_Hlk64244467"/>
            <w:r w:rsidRPr="00F61D3C">
              <w:rPr>
                <w:rFonts w:cstheme="minorHAnsi"/>
                <w:iCs/>
                <w:lang w:val="en-GB"/>
              </w:rPr>
              <w:t>Annual Progress Report, Ministry of Food and Agriculture, 2019</w:t>
            </w:r>
          </w:p>
          <w:bookmarkEnd w:id="21"/>
          <w:p w14:paraId="79C5CF8C" w14:textId="382E4009" w:rsidR="00691BBA" w:rsidRDefault="00691BBA" w:rsidP="00691BBA"/>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51999A6" w:rsidR="0035311B" w:rsidRPr="009F305C" w:rsidRDefault="00691BBA"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ED6531A" w:rsidR="007F2D9F" w:rsidRPr="009F305C" w:rsidRDefault="00691BBA" w:rsidP="009F305C">
            <w:r>
              <w:t xml:space="preserve">Total </w:t>
            </w:r>
            <w:proofErr w:type="spellStart"/>
            <w:r>
              <w:t>post harvest</w:t>
            </w:r>
            <w:proofErr w:type="spellEnd"/>
            <w:r>
              <w:t xml:space="preserve"> losses divided by total production and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B4652B3"/>
    <w:multiLevelType w:val="hybridMultilevel"/>
    <w:tmpl w:val="C65EA498"/>
    <w:lvl w:ilvl="0" w:tplc="04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lvlOverride w:ilvl="0"/>
    <w:lvlOverride w:ilvl="1"/>
    <w:lvlOverride w:ilvl="2"/>
    <w:lvlOverride w:ilvl="3"/>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CD0"/>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1BBA"/>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1D3C"/>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691BB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8949530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7576702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3808669">
      <w:bodyDiv w:val="1"/>
      <w:marLeft w:val="0"/>
      <w:marRight w:val="0"/>
      <w:marTop w:val="0"/>
      <w:marBottom w:val="0"/>
      <w:divBdr>
        <w:top w:val="none" w:sz="0" w:space="0" w:color="auto"/>
        <w:left w:val="none" w:sz="0" w:space="0" w:color="auto"/>
        <w:bottom w:val="none" w:sz="0" w:space="0" w:color="auto"/>
        <w:right w:val="none" w:sz="0" w:space="0" w:color="auto"/>
      </w:divBdr>
    </w:div>
    <w:div w:id="115009639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54463501">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60983151">
      <w:bodyDiv w:val="1"/>
      <w:marLeft w:val="0"/>
      <w:marRight w:val="0"/>
      <w:marTop w:val="0"/>
      <w:marBottom w:val="0"/>
      <w:divBdr>
        <w:top w:val="none" w:sz="0" w:space="0" w:color="auto"/>
        <w:left w:val="none" w:sz="0" w:space="0" w:color="auto"/>
        <w:bottom w:val="none" w:sz="0" w:space="0" w:color="auto"/>
        <w:right w:val="none" w:sz="0" w:space="0" w:color="auto"/>
      </w:divBdr>
    </w:div>
    <w:div w:id="19276840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responsible-consumption-and-production"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60EE1"/>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13</Pages>
  <Words>215867</Words>
  <Characters>1230448</Characters>
  <Application>Microsoft Office Word</Application>
  <DocSecurity>8</DocSecurity>
  <Lines>10253</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1443429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2021-10-18T15:20:00Z</dcterms:created>
  <dcterms:modified xsi:type="dcterms:W3CDTF">2021-11-04T12:56:00Z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