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3071"/>
            <w:bookmarkStart w:id="5" w:name="_Toc36812571"/>
            <w:bookmarkStart w:id="6" w:name="_Toc36655608"/>
            <w:bookmarkStart w:id="7" w:name="_Toc36812684"/>
            <w:r>
              <w:rPr>
                <w:rFonts w:hint="default"/>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color w:val="1C75BC"/>
                <w:lang w:eastAsia="en-GB"/>
              </w:rPr>
            </w:pPr>
            <w:r>
              <w:rPr>
                <w:rFonts w:hint="default" w:eastAsia="Times New Roman" w:cs="Arial"/>
                <w:color w:val="auto"/>
                <w:lang w:eastAsia="en-GB"/>
              </w:rPr>
              <w:t>Indicator 13.1.1: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7932744"/>
            <w:bookmarkStart w:id="10" w:name="_Toc36655609"/>
            <w:bookmarkStart w:id="11" w:name="_Toc36812685"/>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655610"/>
            <w:bookmarkStart w:id="15" w:name="_Toc36812573"/>
            <w:bookmarkStart w:id="16" w:name="_Toc37932745"/>
            <w:bookmarkStart w:id="17" w:name="_Toc36813073"/>
            <w:r>
              <w:rPr>
                <w:rFonts w:hint="default"/>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right="0"/>
              <w:rPr>
                <w:rFonts w:hint="default" w:asciiTheme="minorHAnsi" w:hAnsiTheme="minorHAnsi" w:cstheme="minorHAnsi"/>
                <w:b/>
                <w:bCs/>
                <w:color w:val="000000"/>
                <w:sz w:val="22"/>
                <w:szCs w:val="22"/>
              </w:rPr>
            </w:pPr>
            <w:r>
              <w:rPr>
                <w:rFonts w:hint="default" w:asciiTheme="minorHAnsi" w:hAnsiTheme="minorHAnsi" w:cstheme="minorHAnsi"/>
                <w:b/>
                <w:bCs/>
                <w:color w:val="000000"/>
                <w:sz w:val="22"/>
                <w:szCs w:val="22"/>
              </w:rPr>
              <w:t>Definition:</w:t>
            </w:r>
          </w:p>
          <w:p>
            <w:pPr>
              <w:pStyle w:val="19"/>
              <w:keepNext w:val="0"/>
              <w:keepLines w:val="0"/>
              <w:widowControl/>
              <w:suppressLineNumbers w:val="0"/>
              <w:ind w:left="0" w:right="0"/>
              <w:rPr>
                <w:rFonts w:hint="default" w:asciiTheme="minorHAnsi" w:hAnsiTheme="minorHAnsi" w:cstheme="minorHAnsi"/>
                <w:color w:val="000000"/>
                <w:sz w:val="22"/>
                <w:szCs w:val="22"/>
              </w:rPr>
            </w:pPr>
            <w:r>
              <w:rPr>
                <w:rFonts w:hint="default" w:asciiTheme="minorHAnsi" w:hAnsiTheme="minorHAnsi" w:cstheme="minorHAnsi"/>
                <w:color w:val="000000"/>
                <w:sz w:val="22"/>
                <w:szCs w:val="22"/>
              </w:rPr>
              <w:t>This indicator measures the number of people who died, went missing or were directly affected by disasters per 100,000 population.</w:t>
            </w:r>
          </w:p>
          <w:p>
            <w:pPr>
              <w:pStyle w:val="19"/>
              <w:keepNext w:val="0"/>
              <w:keepLines w:val="0"/>
              <w:widowControl/>
              <w:suppressLineNumbers w:val="0"/>
              <w:ind w:left="0" w:right="0"/>
              <w:rPr>
                <w:rFonts w:hint="default" w:asciiTheme="minorHAnsi" w:hAnsiTheme="minorHAnsi" w:cstheme="minorHAnsi"/>
                <w:b/>
                <w:bCs/>
                <w:color w:val="000000"/>
                <w:sz w:val="22"/>
                <w:szCs w:val="22"/>
              </w:rPr>
            </w:pPr>
            <w:r>
              <w:rPr>
                <w:rFonts w:hint="default" w:asciiTheme="minorHAnsi" w:hAnsiTheme="minorHAnsi" w:cstheme="minorHAnsi"/>
                <w:b/>
                <w:bCs/>
                <w:color w:val="000000"/>
                <w:sz w:val="22"/>
                <w:szCs w:val="22"/>
              </w:rPr>
              <w:t>Concepts:</w:t>
            </w:r>
          </w:p>
          <w:p>
            <w:pPr>
              <w:pStyle w:val="19"/>
              <w:keepNext w:val="0"/>
              <w:keepLines w:val="0"/>
              <w:widowControl/>
              <w:suppressLineNumbers w:val="0"/>
              <w:ind w:left="0" w:right="0"/>
              <w:rPr>
                <w:rFonts w:hint="default" w:asciiTheme="minorHAnsi" w:hAnsiTheme="minorHAnsi" w:cstheme="minorHAnsi"/>
                <w:color w:val="000000"/>
                <w:sz w:val="22"/>
                <w:szCs w:val="22"/>
              </w:rPr>
            </w:pPr>
            <w:r>
              <w:rPr>
                <w:rFonts w:hint="default" w:asciiTheme="minorHAnsi" w:hAnsiTheme="minorHAnsi" w:cstheme="minorHAnsi"/>
                <w:color w:val="000000"/>
                <w:sz w:val="22"/>
                <w:szCs w:val="22"/>
              </w:rPr>
              <w:t>Death: The number of people who died during the disaster, or directly after, as a direct result of the hazardous event.</w:t>
            </w:r>
          </w:p>
          <w:p>
            <w:pPr>
              <w:pStyle w:val="19"/>
              <w:keepNext w:val="0"/>
              <w:keepLines w:val="0"/>
              <w:widowControl/>
              <w:suppressLineNumbers w:val="0"/>
              <w:ind w:left="0" w:right="0"/>
              <w:rPr>
                <w:rFonts w:hint="default" w:asciiTheme="minorHAnsi" w:hAnsiTheme="minorHAnsi" w:cstheme="minorHAnsi"/>
                <w:color w:val="000000"/>
                <w:sz w:val="22"/>
                <w:szCs w:val="22"/>
              </w:rPr>
            </w:pPr>
            <w:r>
              <w:rPr>
                <w:rFonts w:hint="default"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Annual</w:t>
            </w:r>
            <w:r>
              <w:rPr>
                <w:rFonts w:hint="default"/>
                <w:lang w:val="en-CA"/>
              </w:rPr>
              <w:t xml:space="preserve"> R</w:t>
            </w:r>
            <w:r>
              <w:rPr>
                <w:rFonts w:hint="default"/>
              </w:rPr>
              <w:t>eport</w:t>
            </w:r>
          </w:p>
          <w:p>
            <w:pPr>
              <w:keepNext w:val="0"/>
              <w:keepLines w:val="0"/>
              <w:widowControl/>
              <w:suppressLineNumbers w:val="0"/>
              <w:spacing w:before="0" w:beforeAutospacing="0" w:afterAutospacing="0"/>
              <w:ind w:left="0" w:right="0"/>
              <w:rPr>
                <w:rFonts w:hint="default"/>
              </w:rPr>
            </w:pPr>
            <w:r>
              <w:rPr>
                <w:rFonts w:hint="default"/>
                <w:lang w:val="en-CA"/>
              </w:rPr>
              <w:t>Ghana’s Voluntary National Review Report (VNR), 2022</w:t>
            </w:r>
            <w:r>
              <w:rPr>
                <w:rFonts w:hint="default"/>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Disaster Management Organisation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7932747"/>
            <w:bookmarkStart w:id="21" w:name="_Toc36812688"/>
            <w:bookmarkStart w:id="22" w:name="_Toc36813075"/>
            <w:bookmarkStart w:id="23" w:name="_Toc36655612"/>
            <w:bookmarkStart w:id="24" w:name="_Toc368125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The indicator is based on the </w:t>
            </w:r>
            <w:r>
              <w:rPr>
                <w:rFonts w:hint="default" w:cstheme="minorHAnsi"/>
              </w:rPr>
              <w:fldChar w:fldCharType="begin"/>
            </w:r>
            <w:r>
              <w:rPr>
                <w:rFonts w:hint="default" w:cstheme="minorHAnsi"/>
              </w:rPr>
              <w:instrText xml:space="preserve"> HYPERLINK "https://www.undrr.org/publication/sendai-framework-disaster-risk-reduction-2015-2030" </w:instrText>
            </w:r>
            <w:r>
              <w:rPr>
                <w:rFonts w:hint="default" w:cstheme="minorHAnsi"/>
              </w:rPr>
              <w:fldChar w:fldCharType="separate"/>
            </w:r>
            <w:r>
              <w:rPr>
                <w:rStyle w:val="18"/>
                <w:rFonts w:hint="default" w:cstheme="minorHAnsi"/>
              </w:rPr>
              <w:t>Sendai Framework for Disaster Risk Reduction 2015-2030</w:t>
            </w:r>
            <w:r>
              <w:rPr>
                <w:rFonts w:hint="default" w:cstheme="minorHAnsi"/>
              </w:rPr>
              <w:fldChar w:fldCharType="end"/>
            </w:r>
            <w:r>
              <w:rPr>
                <w:rFonts w:hint="default" w:cstheme="minorHAnsi"/>
              </w:rPr>
              <w:t xml:space="preserve"> which was adopted by UN Member States in March 2015 as a global policy of disaster risk reduction. Two key targets of the framework are:</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 (i) To substantially reduce global disaster mortality by 2030, aiming to lower the average global figure per 100,000 global mortality between 2020 and 2030 compared with 2005-2015” and </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(ii) To substantially reduce the number of affected people globally by 2030, aiming to lower the average global figure per 100,000 between 2020 and 2030 compared with 2005-2015”.</w:t>
            </w:r>
          </w:p>
          <w:p>
            <w:pPr>
              <w:keepNext w:val="0"/>
              <w:keepLines w:val="0"/>
              <w:widowControl/>
              <w:suppressLineNumbers w:val="0"/>
              <w:spacing w:before="0" w:beforeAutospacing="0" w:afterAutospacing="0"/>
              <w:ind w:left="0" w:right="0"/>
              <w:rPr>
                <w:rFonts w:hint="default"/>
              </w:rPr>
            </w:pPr>
            <w:r>
              <w:rPr>
                <w:rFonts w:hint="default"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8" w:afterAutospacing="0" w:line="266" w:lineRule="auto"/>
              <w:ind w:left="0" w:right="0"/>
              <w:jc w:val="left"/>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There is no </w:t>
            </w:r>
            <w:r>
              <w:rPr>
                <w:rFonts w:hint="default"/>
                <w:lang w:val="en-CA"/>
              </w:rPr>
              <w:t xml:space="preserve">available </w:t>
            </w:r>
            <w:r>
              <w:rPr>
                <w:rFonts w:hint="default"/>
              </w:rPr>
              <w:t>disaggregation</w:t>
            </w:r>
            <w:r>
              <w:rPr>
                <w:rFonts w:hint="default"/>
                <w:lang w:val="en-CA"/>
              </w:rPr>
              <w:t xml:space="preserve"> </w:t>
            </w:r>
            <w:r>
              <w:rPr>
                <w:rFonts w:hint="default"/>
              </w:rPr>
              <w:t xml:space="preserve">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CA52A3"/>
    <w:rsid w:val="1B927A7F"/>
    <w:rsid w:val="1D436CDE"/>
    <w:rsid w:val="5D9150B2"/>
    <w:rsid w:val="760E379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215569</Words>
  <Characters>1228747</Characters>
  <Lines>10239</Lines>
  <Paragraphs>2882</Paragraphs>
  <TotalTime>1</TotalTime>
  <ScaleCrop>false</ScaleCrop>
  <LinksUpToDate>false</LinksUpToDate>
  <CharactersWithSpaces>1441434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2021-11-04T14:04:00Z</dcterms:created>
  <dc:creator>Fanning, Stephen B (JMD)</dc:creator>
  <cp:lastModifiedBy>Doreen</cp:lastModifiedBy>
  <cp:lastPrinted>2020-04-16T14:23:00Z</cp:lastPrinted>
  <dcterms:modified xsi:type="dcterms:W3CDTF">2022-11-13T11:38:49Z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2D622B1EFF1D48348F8296BB3359939A</vt:lpwstr>
  </property>
</Properties>
</file>