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17.1.2 Proportion of domestic budget funded by domestic taxes [17.1.2] (GC_GOB_TAXD)</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6812684"/>
            <w:bookmarkStart w:id="6" w:name="_Toc368125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pPr>
            <w:r>
              <w:rPr>
                <w:sz w:val="22"/>
                <w:szCs w:val="22"/>
              </w:rP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17.1: Strengthen domestic resource mobilization, including through international support to developing countries, to improve domestic capacity for tax and other revenue collection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0"/>
              <w:rPr>
                <w:rFonts w:hint="default"/>
                <w:lang w:val="en-CA"/>
              </w:rPr>
            </w:pPr>
            <w:r>
              <w:rPr>
                <w:sz w:val="22"/>
                <w:szCs w:val="22"/>
              </w:rPr>
              <w:t>Indicator 17.1.2: Proportion of domestic budget funded by domestic taxes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17.1.1</w:t>
            </w:r>
            <w:r>
              <w:rPr>
                <w:sz w:val="22"/>
                <w:szCs w:val="22"/>
                <w:highlight w:val="yellow"/>
              </w:rPr>
              <w:t xml:space="preserve">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t>I</w:t>
            </w:r>
            <w:r>
              <w:rPr>
                <w:sz w:val="22"/>
                <w:szCs w:val="22"/>
              </w:rPr>
              <w:t>MF Statistics Department (Government Finance Division)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2572"/>
            <w:bookmarkStart w:id="11" w:name="_Toc36812685"/>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6812573"/>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b/>
                <w:bCs/>
                <w:i w:val="0"/>
                <w:iCs w:val="0"/>
                <w:caps w:val="0"/>
                <w:color w:val="000000"/>
                <w:spacing w:val="0"/>
                <w:sz w:val="22"/>
                <w:szCs w:val="22"/>
              </w:rPr>
            </w:pPr>
            <w:r>
              <w:rPr>
                <w:rFonts w:hint="default" w:ascii="Calibri" w:hAnsi="Calibri" w:cs="Calibri"/>
                <w:b/>
                <w:bCs/>
                <w:i w:val="0"/>
                <w:iCs w:val="0"/>
                <w:caps w:val="0"/>
                <w:color w:val="000000"/>
                <w:spacing w:val="0"/>
                <w:sz w:val="22"/>
                <w:szCs w:val="22"/>
              </w:rPr>
              <w:t>Definition:</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precise definition of the indicator is the Proportion of domestic budgetary central government expenditure funded by taxes.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 xml:space="preserve">Budgetary central government, described in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"https://www.imf.org/external/np/sta/gfsm/"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GFSM 2014</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rPr>
              <w:t xml:space="preserve"> is an institutional unit of the general government sector particularly important in terms of size and power, particularly the power to exercise control over many other units and entities. </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budgetary central government is often a single unit of the central government that encompasses the fundamental activities of the national executive, legislative, and judiciary</w:t>
            </w:r>
            <w:r>
              <w:rPr>
                <w:rFonts w:hint="default" w:ascii="Calibri" w:hAnsi="Calibri" w:cs="Calibri"/>
                <w:i w:val="0"/>
                <w:iCs w:val="0"/>
                <w:caps w:val="0"/>
                <w:color w:val="000000"/>
                <w:spacing w:val="0"/>
                <w:sz w:val="22"/>
                <w:szCs w:val="22"/>
                <w:lang w:val="en-CA"/>
              </w:rPr>
              <w:t xml:space="preserve"> </w:t>
            </w:r>
            <w:r>
              <w:rPr>
                <w:rFonts w:hint="default" w:ascii="Calibri" w:hAnsi="Calibri" w:cs="Calibri"/>
                <w:i w:val="0"/>
                <w:iCs w:val="0"/>
                <w:caps w:val="0"/>
                <w:color w:val="000000"/>
                <w:spacing w:val="0"/>
                <w:sz w:val="22"/>
                <w:szCs w:val="22"/>
              </w:rPr>
              <w:t>powers.</w:t>
            </w:r>
          </w:p>
          <w:p>
            <w:pPr>
              <w:pStyle w:val="19"/>
              <w:keepNext w:val="0"/>
              <w:keepLines w:val="0"/>
              <w:widowControl/>
              <w:suppressLineNumbers w:val="0"/>
              <w:ind w:left="0" w:firstLine="0"/>
              <w:rPr>
                <w:rFonts w:hint="default" w:ascii="Calibri" w:hAnsi="Calibri" w:cs="Calibri"/>
                <w:b/>
                <w:bCs/>
                <w:i w:val="0"/>
                <w:iCs w:val="0"/>
                <w:caps w:val="0"/>
                <w:color w:val="000000"/>
                <w:spacing w:val="0"/>
                <w:sz w:val="22"/>
                <w:szCs w:val="22"/>
              </w:rPr>
            </w:pPr>
            <w:r>
              <w:rPr>
                <w:rFonts w:hint="default" w:ascii="Calibri" w:hAnsi="Calibri" w:cs="Calibri"/>
                <w:b/>
                <w:bCs/>
                <w:i w:val="0"/>
                <w:iCs w:val="0"/>
                <w:caps w:val="0"/>
                <w:color w:val="000000"/>
                <w:spacing w:val="0"/>
                <w:sz w:val="22"/>
                <w:szCs w:val="22"/>
              </w:rPr>
              <w:t>Concepts:</w:t>
            </w:r>
          </w:p>
          <w:p>
            <w:pPr>
              <w:pStyle w:val="19"/>
              <w:keepNext w:val="0"/>
              <w:keepLines w:val="0"/>
              <w:widowControl/>
              <w:suppressLineNumbers w:val="0"/>
              <w:ind w:left="0" w:firstLine="0"/>
            </w:pPr>
            <w:r>
              <w:rPr>
                <w:rFonts w:hint="default" w:ascii="Calibri" w:hAnsi="Calibri" w:cs="Calibri"/>
                <w:i w:val="0"/>
                <w:iCs w:val="0"/>
                <w:caps w:val="0"/>
                <w:color w:val="000000"/>
                <w:spacing w:val="0"/>
                <w:sz w:val="22"/>
                <w:szCs w:val="22"/>
              </w:rPr>
              <w:t xml:space="preserve">The key concepts and terms associated with the indicator are outlined in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"https://www.imf.org/external/Pubs/FT/GFS/Manual/2014/gfsfinal.pdf"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GFSM 2014</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rPr>
              <w:t>, as are the associated classifications. Revenue is defined in Chapter 4 (paragraph 4.23) and the associated classifications are detailed in Chapter 5. Expenditure is also defined in Chapter 4 (paragraph 4.21) while the associated detailed classifications and concepts used for calculating this aggregate are outlined in Chapter 6 - 8.</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pStyle w:val="35"/>
              <w:rPr>
                <w:rFonts w:hint="default"/>
                <w:lang w:val="en-CA"/>
              </w:rPr>
            </w:pPr>
            <w:r>
              <w:rPr>
                <w:sz w:val="22"/>
                <w:szCs w:val="22"/>
              </w:rPr>
              <w:t>Percent</w:t>
            </w:r>
            <w:r>
              <w:rPr>
                <w:rFonts w:hint="default"/>
                <w:sz w:val="22"/>
                <w:szCs w:val="22"/>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cstheme="minorHAnsi"/>
                <w:lang w:val="en-GB"/>
              </w:rPr>
              <w:t xml:space="preserve">Ministry of Finance </w:t>
            </w:r>
            <w:r>
              <w:rPr>
                <w:rFonts w:hint="default" w:cstheme="minorHAnsi"/>
                <w:lang w:val="en-CA"/>
              </w:rPr>
              <w:t>(MoF) F</w:t>
            </w:r>
            <w:r>
              <w:rPr>
                <w:rFonts w:cstheme="minorHAnsi"/>
                <w:lang w:val="en-GB"/>
              </w:rPr>
              <w:t xml:space="preserve">iscal </w:t>
            </w:r>
            <w:r>
              <w:rPr>
                <w:rFonts w:hint="default" w:cstheme="minorHAnsi"/>
                <w:lang w:val="en-CA"/>
              </w:rPr>
              <w:t>D</w:t>
            </w:r>
            <w:r>
              <w:rPr>
                <w:rFonts w:cstheme="minorHAnsi"/>
                <w:lang w:val="en-GB"/>
              </w:rPr>
              <w:t>ata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cstheme="minorHAnsi"/>
                <w:lang w:val="en-GB"/>
              </w:rPr>
              <w:t>Ministry of Finance</w:t>
            </w:r>
            <w:r>
              <w:rPr>
                <w:rFonts w:hint="default" w:cstheme="minorHAnsi"/>
                <w:lang w:val="en-CA"/>
              </w:rPr>
              <w:t xml:space="preserve"> and Economic Planning (MoFEP) </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7932747"/>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000000"/>
                <w:spacing w:val="0"/>
                <w:sz w:val="22"/>
                <w:szCs w:val="22"/>
              </w:rPr>
              <w:t>Indicator 17.1.2</w:t>
            </w:r>
            <w:r>
              <w:rPr>
                <w:rFonts w:hint="default" w:ascii="Calibri" w:hAnsi="Calibri" w:eastAsia="SimSun" w:cs="Calibri"/>
                <w:i w:val="0"/>
                <w:iCs w:val="0"/>
                <w:caps w:val="0"/>
                <w:color w:val="000000"/>
                <w:spacing w:val="0"/>
                <w:sz w:val="22"/>
                <w:szCs w:val="22"/>
                <w:lang w:val="en-CA"/>
              </w:rPr>
              <w:t>,</w:t>
            </w:r>
            <w:bookmarkStart w:id="38" w:name="_GoBack"/>
            <w:bookmarkEnd w:id="38"/>
            <w:r>
              <w:rPr>
                <w:rFonts w:hint="default" w:ascii="Calibri" w:hAnsi="Calibri" w:eastAsia="SimSun" w:cs="Calibri"/>
                <w:i w:val="0"/>
                <w:iCs w:val="0"/>
                <w:caps w:val="0"/>
                <w:color w:val="000000"/>
                <w:spacing w:val="0"/>
                <w:sz w:val="22"/>
                <w:szCs w:val="22"/>
              </w:rPr>
              <w:t xml:space="preserve"> Proportion of domestic budgetary central government expenditure funded by taxes supports an understanding of the extent to which countries’ recurrent and capital outlays are actually covered by domestic revenue mobilization in the form of taxation. Both indicators</w:t>
            </w:r>
            <w:r>
              <w:rPr>
                <w:rFonts w:hint="default" w:ascii="Calibri" w:hAnsi="Calibri" w:eastAsia="SimSun" w:cs="Calibri"/>
                <w:i w:val="0"/>
                <w:iCs w:val="0"/>
                <w:caps w:val="0"/>
                <w:color w:val="000000"/>
                <w:spacing w:val="0"/>
                <w:sz w:val="22"/>
                <w:szCs w:val="22"/>
                <w:lang w:val="en-CA"/>
              </w:rPr>
              <w:t xml:space="preserve">- 17.1.1 and 17.1.2- </w:t>
            </w:r>
            <w:r>
              <w:rPr>
                <w:rFonts w:hint="default" w:ascii="Calibri" w:hAnsi="Calibri" w:eastAsia="SimSun" w:cs="Calibri"/>
                <w:i w:val="0"/>
                <w:iCs w:val="0"/>
                <w:caps w:val="0"/>
                <w:color w:val="000000"/>
                <w:spacing w:val="0"/>
                <w:sz w:val="22"/>
                <w:szCs w:val="22"/>
              </w:rPr>
              <w:t>are important in relation to achieving longer-term development objectives.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812689"/>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"https://www.imf.org/external/Pubs/FT/GFS/Manual/2014/gfsfinal.pdf" </w:instrText>
            </w:r>
            <w:r>
              <w:rPr>
                <w:rFonts w:hint="default"/>
              </w:rPr>
              <w:fldChar w:fldCharType="separate"/>
            </w:r>
            <w:r>
              <w:rPr>
                <w:rStyle w:val="18"/>
                <w:rFonts w:hint="default"/>
              </w:rPr>
              <w:t>https://www.imf.org/external/Pubs/FT/GFS/Manual/2014/gfsfinal.pdf</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386"/>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4814"/>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32A71B6"/>
    <w:rsid w:val="0FB968A1"/>
    <w:rsid w:val="3C5B52D9"/>
    <w:rsid w:val="424958F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41A1E"/>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215440</Words>
  <Characters>1228014</Characters>
  <Lines>10233</Lines>
  <Paragraphs>2881</Paragraphs>
  <TotalTime>25</TotalTime>
  <ScaleCrop>false</ScaleCrop>
  <LinksUpToDate>false</LinksUpToDate>
  <CharactersWithSpaces>1440573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2021-11-29T11:12:00Z</dcterms:created>
  <dc:creator>Fanning, Stephen B (JMD)</dc:creator>
  <cp:lastModifiedBy>Doreen</cp:lastModifiedBy>
  <cp:lastPrinted>2020-04-16T14:23:00Z</cp:lastPrinted>
  <dcterms:modified xsi:type="dcterms:W3CDTF">2022-11-14T07:14:47Z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9497283738CB488F8659C593AC54C68F</vt:lpwstr>
  </property>
</Properties>
</file>