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D279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D279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D279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D279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D279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D279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D279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D279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D279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D279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D279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D279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D279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657FAFD" w:rsidR="00355460" w:rsidRPr="00E263EC" w:rsidRDefault="00C6002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77457FB" w:rsidR="00B66AF3" w:rsidRDefault="00C60026" w:rsidP="00B66AF3">
          <w:r>
            <w:t>6.4.2 Level of water stress: freshwater withdrawal as a proportion of available freshwater resources [6.4.2] (ER_H2O_STRESS)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B11BCD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05B6E1" w:rsidR="0077584C" w:rsidRDefault="00C6002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9DBD296" w:rsidR="00F7784D" w:rsidRDefault="00C6002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DC2C86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E62D519" w14:textId="77777777" w:rsidR="00C60026" w:rsidRDefault="00C60026" w:rsidP="00C60026">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6: Ensure availability and sustainable management of water and sanitation for all</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0E4CD74" w14:textId="77777777" w:rsidR="00C60026" w:rsidRDefault="00C60026" w:rsidP="00C60026">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6.4: By 2030, substantially increase water-use efficiency across all sectors and ensure sustainable withdrawals and supply of freshwater to address water scarcity and substantially reduce the number of people suffering from water scarcity</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87E025F" w14:textId="77777777" w:rsidR="00C60026" w:rsidRDefault="00C60026" w:rsidP="00C60026">
            <w:pPr>
              <w:pStyle w:val="MGTHeader"/>
            </w:pPr>
            <w:r>
              <w:t>Indicator 6.4.2: Level of water stress: freshwater withdrawal as a proportion of available freshwater resources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B038EB9" w14:textId="77777777" w:rsidR="00C60026" w:rsidRDefault="00C60026" w:rsidP="00C60026">
            <w:pPr>
              <w:pStyle w:val="MGTHeader"/>
            </w:pPr>
            <w:r>
              <w:t>6.4.1: Change in water-use efficiency over time</w:t>
            </w:r>
          </w:p>
          <w:p w14:paraId="528752B5" w14:textId="77777777" w:rsidR="00C60026" w:rsidRDefault="00C60026" w:rsidP="00C60026">
            <w:pPr>
              <w:pStyle w:val="MGTHeader"/>
            </w:pPr>
            <w:r>
              <w:t>6.1.1: Proportion of population using safely managed drinking water services</w:t>
            </w:r>
          </w:p>
          <w:p w14:paraId="2C7CBB34" w14:textId="77777777" w:rsidR="00C60026" w:rsidRDefault="00C60026" w:rsidP="00C60026">
            <w:pPr>
              <w:pStyle w:val="MGTHeader"/>
            </w:pPr>
            <w:r>
              <w:t>6.3.1: Proportion of wastewater safely treated</w:t>
            </w:r>
          </w:p>
          <w:p w14:paraId="48267E60" w14:textId="77777777" w:rsidR="00C60026" w:rsidRDefault="00C60026" w:rsidP="00C60026">
            <w:pPr>
              <w:pStyle w:val="MGTHeader"/>
            </w:pPr>
            <w:r>
              <w:t>6.6.1: Change in the extent of water-related ecosystems over time</w:t>
            </w:r>
          </w:p>
          <w:p w14:paraId="07CB0378" w14:textId="77777777" w:rsidR="00C60026" w:rsidRDefault="00C60026" w:rsidP="00C60026">
            <w:pPr>
              <w:pStyle w:val="MGTHeader"/>
            </w:pPr>
            <w:r>
              <w:t>6.5.1: Degree of integrated water resources management implementation (0-100)</w:t>
            </w:r>
          </w:p>
          <w:p w14:paraId="1250B6DD" w14:textId="77777777" w:rsidR="00C60026" w:rsidRDefault="00C60026" w:rsidP="00C60026">
            <w:pPr>
              <w:pStyle w:val="MGTHeader"/>
            </w:pPr>
            <w:r>
              <w:t>2.4.1: Proportion of agricultural area under productive and sustainable agriculture</w:t>
            </w:r>
          </w:p>
          <w:p w14:paraId="3D83EC77" w14:textId="77777777" w:rsidR="00C60026" w:rsidRDefault="00C60026" w:rsidP="00C60026">
            <w:pPr>
              <w:pStyle w:val="MGTHeader"/>
            </w:pPr>
            <w:r>
              <w:t>15.3.1: Proportion of land that is degraded over total land area</w:t>
            </w:r>
          </w:p>
          <w:p w14:paraId="09136335" w14:textId="77777777" w:rsidR="00C60026" w:rsidRDefault="00C60026" w:rsidP="00C60026">
            <w:pPr>
              <w:pStyle w:val="MGTHeader"/>
            </w:pPr>
            <w:r>
              <w:t>1.5.1: Number of deaths, missing persons and persons affected by disaster per 100,000 people [a]</w:t>
            </w:r>
          </w:p>
          <w:p w14:paraId="47D190CA" w14:textId="77777777" w:rsidR="00C60026" w:rsidRDefault="00C60026" w:rsidP="00C60026">
            <w:pPr>
              <w:pStyle w:val="MGTHeader"/>
            </w:pPr>
            <w:r>
              <w:t>11.5.1: Number of deaths, missing persons and persons affected by disaster per 100,000 people [a]</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F46F381" w14:textId="77777777" w:rsidR="00C60026" w:rsidRDefault="00C60026" w:rsidP="00C60026">
            <w:pPr>
              <w:pStyle w:val="MGTHeader"/>
              <w:rPr>
                <w:color w:val="4A4A4A"/>
              </w:rPr>
            </w:pPr>
            <w:r>
              <w:t>Food and Agriculture Organization of the United Nations (FAO)</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AEB4C0A" w:rsidR="003E7389" w:rsidRPr="009F305C" w:rsidRDefault="00BD2798" w:rsidP="009F305C">
            <w:r>
              <w:t>Water Resources Commission (WRC)</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1A9EF53" w14:textId="77777777" w:rsidR="00C60026" w:rsidRDefault="00C60026" w:rsidP="00C60026">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2F4F0DDB" w14:textId="77777777" w:rsidR="00C60026" w:rsidRDefault="00C60026" w:rsidP="00C6002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The level of water stress: freshwater withdrawal as a proportion of available freshwater resources is the ratio between total freshwater withdrawn by all major sectors and total renewable freshwater resources, after taking into account environmental flow requirements. Main sectors, as defined by ISIC standards, include agriculture; forestry and fishing; manufacturing; electricity industry; and services. This indicator is also known as water withdrawal intensity.</w:t>
            </w:r>
          </w:p>
          <w:p w14:paraId="06D36813" w14:textId="77777777" w:rsidR="00C60026" w:rsidRDefault="00C60026" w:rsidP="00C60026">
            <w:pPr>
              <w:shd w:val="clear" w:color="auto" w:fill="FFFFFF"/>
              <w:contextualSpacing/>
              <w:rPr>
                <w:rFonts w:eastAsia="Times New Roman" w:cs="Times New Roman"/>
                <w:b/>
                <w:bCs/>
                <w:color w:val="4A4A4A"/>
                <w:sz w:val="21"/>
                <w:szCs w:val="21"/>
                <w:lang w:eastAsia="en-GB"/>
              </w:rPr>
            </w:pPr>
          </w:p>
          <w:p w14:paraId="774C4863" w14:textId="77777777" w:rsidR="00C60026" w:rsidRDefault="00C60026" w:rsidP="00C60026">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Concepts:</w:t>
            </w:r>
          </w:p>
          <w:p w14:paraId="4481F39A" w14:textId="77777777" w:rsidR="00C60026" w:rsidRDefault="00C60026" w:rsidP="00C6002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This indicator provides an estimate of pressure by all sectors on the country’s renewable freshwater resources. A low level of water stress indicates a situation where the combined withdrawal by all sectors is marginal in relation to the resources, and has therefore little potential impact on the sustainability of the resources or on the potential competition between users. A high level of water stress indicates a situation where the combined withdrawal by all sectors represents a substantial share of the total renewable freshwater resources, with potentially larger impacts on the sustainability of the resources and potential situations of conflicts and competition between users. </w:t>
            </w:r>
          </w:p>
          <w:p w14:paraId="486B3BAD" w14:textId="77777777" w:rsidR="00C60026" w:rsidRDefault="00C60026" w:rsidP="00C60026">
            <w:pPr>
              <w:shd w:val="clear" w:color="auto" w:fill="FFFFFF"/>
              <w:contextualSpacing/>
              <w:rPr>
                <w:rFonts w:eastAsia="Times New Roman" w:cs="Times New Roman"/>
                <w:color w:val="4A4A4A"/>
                <w:sz w:val="21"/>
                <w:szCs w:val="21"/>
                <w:lang w:eastAsia="en-GB"/>
              </w:rPr>
            </w:pPr>
          </w:p>
          <w:p w14:paraId="54DD48CB" w14:textId="77777777" w:rsidR="00C60026" w:rsidRDefault="00C60026" w:rsidP="00C6002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Total renewable freshwater resources (TRWR) are expressed as the sum of internal and external renewable water resources. The terms “water resources” and “water withdrawal” are understood here as freshwater resources and freshwater withdrawal. </w:t>
            </w:r>
          </w:p>
          <w:p w14:paraId="483E71A2" w14:textId="77777777" w:rsidR="00C60026" w:rsidRDefault="00C60026" w:rsidP="00C60026">
            <w:pPr>
              <w:shd w:val="clear" w:color="auto" w:fill="FFFFFF"/>
              <w:contextualSpacing/>
              <w:rPr>
                <w:rFonts w:eastAsia="Times New Roman" w:cs="Times New Roman"/>
                <w:color w:val="4A4A4A"/>
                <w:sz w:val="21"/>
                <w:szCs w:val="21"/>
                <w:lang w:eastAsia="en-GB"/>
              </w:rPr>
            </w:pPr>
          </w:p>
          <w:p w14:paraId="1E9A1E2F" w14:textId="77777777" w:rsidR="00C60026" w:rsidRDefault="00C60026" w:rsidP="00C6002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Internal renewable water resources are defined as the long-term average annual flow of rivers and recharge of groundwater for a given country generated from endogenous precipitation. </w:t>
            </w:r>
          </w:p>
          <w:p w14:paraId="1984ABBF" w14:textId="77777777" w:rsidR="00C60026" w:rsidRDefault="00C60026" w:rsidP="00C60026">
            <w:pPr>
              <w:shd w:val="clear" w:color="auto" w:fill="FFFFFF"/>
              <w:contextualSpacing/>
              <w:rPr>
                <w:rFonts w:eastAsia="Times New Roman" w:cs="Times New Roman"/>
                <w:color w:val="4A4A4A"/>
                <w:sz w:val="21"/>
                <w:szCs w:val="21"/>
                <w:lang w:eastAsia="en-GB"/>
              </w:rPr>
            </w:pPr>
          </w:p>
          <w:p w14:paraId="11BD7A7B" w14:textId="77777777" w:rsidR="00C60026" w:rsidRDefault="00C60026" w:rsidP="00C6002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External renewable water resources refer to the flows of water entering the country, taking into consideration the quantity of flows reserved to upstream and downstream countries through agreements or treaties. </w:t>
            </w:r>
          </w:p>
          <w:p w14:paraId="2D108E16" w14:textId="77777777" w:rsidR="00C60026" w:rsidRDefault="00C60026" w:rsidP="00C60026">
            <w:pPr>
              <w:shd w:val="clear" w:color="auto" w:fill="FFFFFF"/>
              <w:contextualSpacing/>
              <w:rPr>
                <w:rFonts w:eastAsia="Times New Roman" w:cs="Times New Roman"/>
                <w:color w:val="4A4A4A"/>
                <w:sz w:val="21"/>
                <w:szCs w:val="21"/>
                <w:lang w:eastAsia="en-GB"/>
              </w:rPr>
            </w:pPr>
          </w:p>
          <w:p w14:paraId="6F27ADD1" w14:textId="77777777" w:rsidR="00C60026" w:rsidRDefault="00C60026" w:rsidP="00C6002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Total freshwater withdrawal (TFWW) is the volume of freshwater extracted from its source (rivers, lakes, aquifers) for agriculture, industries and services</w:t>
            </w:r>
            <w:r>
              <w:rPr>
                <w:rStyle w:val="FootnoteReference"/>
                <w:rFonts w:eastAsia="Times New Roman" w:cs="Times New Roman"/>
                <w:color w:val="4A4A4A"/>
                <w:sz w:val="21"/>
                <w:szCs w:val="21"/>
                <w:lang w:eastAsia="en-GB"/>
              </w:rPr>
              <w:footnoteReference w:id="2"/>
            </w:r>
            <w:r>
              <w:rPr>
                <w:rFonts w:eastAsia="Times New Roman" w:cs="Times New Roman"/>
                <w:color w:val="4A4A4A"/>
                <w:sz w:val="21"/>
                <w:szCs w:val="21"/>
                <w:lang w:eastAsia="en-GB"/>
              </w:rPr>
              <w:t xml:space="preserve">. It is estimated at the country level for the following three main sectors: agriculture, services (including domestic water withdrawal) and industries (including cooling of thermoelectric plants). Freshwater withdrawal includes fossil groundwater. It does not include non-conventional water, </w:t>
            </w:r>
            <w:proofErr w:type="gramStart"/>
            <w:r>
              <w:rPr>
                <w:rFonts w:eastAsia="Times New Roman" w:cs="Times New Roman"/>
                <w:color w:val="4A4A4A"/>
                <w:sz w:val="21"/>
                <w:szCs w:val="21"/>
                <w:lang w:eastAsia="en-GB"/>
              </w:rPr>
              <w:t>i.e.</w:t>
            </w:r>
            <w:proofErr w:type="gramEnd"/>
            <w:r>
              <w:rPr>
                <w:rFonts w:eastAsia="Times New Roman" w:cs="Times New Roman"/>
                <w:color w:val="4A4A4A"/>
                <w:sz w:val="21"/>
                <w:szCs w:val="21"/>
                <w:lang w:eastAsia="en-GB"/>
              </w:rPr>
              <w:t xml:space="preserve"> direct use of treated wastewater, direct use of agricultural drainage water and desalinated water. </w:t>
            </w:r>
          </w:p>
          <w:p w14:paraId="6044243C" w14:textId="77777777" w:rsidR="00C60026" w:rsidRDefault="00C60026" w:rsidP="00C60026">
            <w:pPr>
              <w:shd w:val="clear" w:color="auto" w:fill="FFFFFF"/>
              <w:contextualSpacing/>
              <w:rPr>
                <w:rFonts w:eastAsia="Times New Roman" w:cs="Times New Roman"/>
                <w:color w:val="4A4A4A"/>
                <w:sz w:val="21"/>
                <w:szCs w:val="21"/>
                <w:lang w:eastAsia="en-GB"/>
              </w:rPr>
            </w:pPr>
          </w:p>
          <w:p w14:paraId="312EEEA2" w14:textId="77777777" w:rsidR="00C60026" w:rsidRDefault="00C60026" w:rsidP="00C6002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Environmental flow requirements (EFR) are defined as the quantity and timing of freshwater flows and levels necessary to sustain aquatic ecosystems, which, in turn, support human cultures, economies, sustainable livelihoods, and wellbeing.  Water quality and also the resulting ecosystem services are excluded from this formulation which is confined to water volumes. This does not imply that quality and the support to societies which are dependent on environmental flows are not important and should not be taken care of.</w:t>
            </w:r>
            <w:r>
              <w:rPr>
                <w:rStyle w:val="FootnoteReference"/>
                <w:rFonts w:eastAsia="Times New Roman" w:cs="Times New Roman"/>
                <w:color w:val="4A4A4A"/>
                <w:sz w:val="21"/>
                <w:szCs w:val="21"/>
                <w:lang w:eastAsia="en-GB"/>
              </w:rPr>
              <w:footnoteReference w:id="3"/>
            </w:r>
            <w:r>
              <w:rPr>
                <w:rFonts w:eastAsia="Times New Roman" w:cs="Times New Roman"/>
                <w:color w:val="4A4A4A"/>
                <w:sz w:val="21"/>
                <w:szCs w:val="21"/>
                <w:lang w:eastAsia="en-GB"/>
              </w:rPr>
              <w:t xml:space="preserve"> Methods of computation of EFR are extremely variable and range from global estimates to comprehensive assessments for river reaches. For the purpose of the SDG indicator, water volumes can be expressed in the same units as the TFWW, and then as percentages of the available water resources.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14FFD01" w:rsidR="0015178E" w:rsidRPr="009F305C" w:rsidRDefault="00C60026"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EE3EC71" w14:textId="77777777" w:rsidR="00C60026" w:rsidRPr="00C60026" w:rsidRDefault="00C60026" w:rsidP="00C60026">
            <w:pPr>
              <w:widowControl w:val="0"/>
              <w:autoSpaceDE w:val="0"/>
              <w:autoSpaceDN w:val="0"/>
              <w:adjustRightInd w:val="0"/>
              <w:spacing w:before="120" w:after="120" w:line="240" w:lineRule="auto"/>
              <w:jc w:val="both"/>
              <w:rPr>
                <w:rFonts w:cstheme="minorHAnsi"/>
              </w:rPr>
            </w:pPr>
            <w:r w:rsidRPr="00C60026">
              <w:rPr>
                <w:rFonts w:cstheme="minorHAnsi"/>
              </w:rPr>
              <w:t>2020 Annual Report, WRC</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708598B6" w14:textId="77777777" w:rsidR="00C60026" w:rsidRDefault="00C60026" w:rsidP="00C60026">
      <w:pPr>
        <w:pStyle w:val="FootnoteText"/>
        <w:rPr>
          <w:sz w:val="18"/>
          <w:szCs w:val="18"/>
        </w:rPr>
      </w:pPr>
      <w:r>
        <w:rPr>
          <w:rStyle w:val="FootnoteReference"/>
          <w:sz w:val="18"/>
          <w:szCs w:val="18"/>
        </w:rPr>
        <w:footnoteRef/>
      </w:r>
      <w:r>
        <w:rPr>
          <w:sz w:val="18"/>
          <w:szCs w:val="18"/>
        </w:rPr>
        <w:t xml:space="preserve"> </w:t>
      </w:r>
      <w:r>
        <w:rPr>
          <w:color w:val="000000" w:themeColor="text1"/>
          <w:sz w:val="18"/>
          <w:szCs w:val="18"/>
        </w:rPr>
        <w:t>In AQUASTAT, Services water withdrawal is reported as Municipal water withdrawal.</w:t>
      </w:r>
    </w:p>
  </w:footnote>
  <w:footnote w:id="3">
    <w:p w14:paraId="5040727B" w14:textId="77777777" w:rsidR="00C60026" w:rsidRDefault="00C60026" w:rsidP="00C60026">
      <w:pPr>
        <w:pStyle w:val="FootnoteText"/>
        <w:rPr>
          <w:sz w:val="18"/>
          <w:szCs w:val="18"/>
        </w:rPr>
      </w:pPr>
      <w:r>
        <w:rPr>
          <w:rStyle w:val="FootnoteReference"/>
          <w:sz w:val="18"/>
          <w:szCs w:val="18"/>
        </w:rPr>
        <w:footnoteRef/>
      </w:r>
      <w:r>
        <w:rPr>
          <w:sz w:val="18"/>
          <w:szCs w:val="18"/>
        </w:rPr>
        <w:t xml:space="preserve"> They are indeed taken into account by other targets and indicators, such as 6.3.2, 6.5.1 and 6.6.1.</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2798"/>
    <w:rsid w:val="00BD7158"/>
    <w:rsid w:val="00C057EA"/>
    <w:rsid w:val="00C05B22"/>
    <w:rsid w:val="00C141AF"/>
    <w:rsid w:val="00C175B6"/>
    <w:rsid w:val="00C210B4"/>
    <w:rsid w:val="00C22A2E"/>
    <w:rsid w:val="00C47725"/>
    <w:rsid w:val="00C60026"/>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649777">
      <w:bodyDiv w:val="1"/>
      <w:marLeft w:val="0"/>
      <w:marRight w:val="0"/>
      <w:marTop w:val="0"/>
      <w:marBottom w:val="0"/>
      <w:divBdr>
        <w:top w:val="none" w:sz="0" w:space="0" w:color="auto"/>
        <w:left w:val="none" w:sz="0" w:space="0" w:color="auto"/>
        <w:bottom w:val="none" w:sz="0" w:space="0" w:color="auto"/>
        <w:right w:val="none" w:sz="0" w:space="0" w:color="auto"/>
      </w:divBdr>
    </w:div>
    <w:div w:id="166676546">
      <w:bodyDiv w:val="1"/>
      <w:marLeft w:val="0"/>
      <w:marRight w:val="0"/>
      <w:marTop w:val="0"/>
      <w:marBottom w:val="0"/>
      <w:divBdr>
        <w:top w:val="none" w:sz="0" w:space="0" w:color="auto"/>
        <w:left w:val="none" w:sz="0" w:space="0" w:color="auto"/>
        <w:bottom w:val="none" w:sz="0" w:space="0" w:color="auto"/>
        <w:right w:val="none" w:sz="0" w:space="0" w:color="auto"/>
      </w:divBdr>
    </w:div>
    <w:div w:id="19654955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16969137">
      <w:bodyDiv w:val="1"/>
      <w:marLeft w:val="0"/>
      <w:marRight w:val="0"/>
      <w:marTop w:val="0"/>
      <w:marBottom w:val="0"/>
      <w:divBdr>
        <w:top w:val="none" w:sz="0" w:space="0" w:color="auto"/>
        <w:left w:val="none" w:sz="0" w:space="0" w:color="auto"/>
        <w:bottom w:val="none" w:sz="0" w:space="0" w:color="auto"/>
        <w:right w:val="none" w:sz="0" w:space="0" w:color="auto"/>
      </w:divBdr>
    </w:div>
    <w:div w:id="55936570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406676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45B50"/>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12</Pages>
  <Words>216022</Words>
  <Characters>1231329</Characters>
  <Application>Microsoft Office Word</Application>
  <DocSecurity>8</DocSecurity>
  <Lines>10261</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1444463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2021-11-03T14:09:00Z</dcterms:created>
  <dcterms:modified xsi:type="dcterms:W3CDTF">2021-11-03T14:09:00Z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