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1.a.2 Proportion of total government spending on essential services, education [1.a.2] (SD_XPD_ESED)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 w:val="22"/>
                <w:szCs w:val="22"/>
              </w:rPr>
            </w:pPr>
            <w:r>
              <w:rPr>
                <w:rFonts w:hint="default" w:eastAsia="SimSun" w:cs="SimSun" w:asciiTheme="minorAscii" w:hAnsiTheme="minorAsci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1.a: Ensure significant mobilization of resources from a variety of sources, including through enhanced development cooperation, in order to provide adequate and predictable means for developing countries, in particular least developed countries, to implement programmes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1.a.2: Proportion of total government spending on essential services (education, health and social protection)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Proportion of total government spending on health [1.a.2]</w:t>
            </w:r>
          </w:p>
          <w:p>
            <w:pPr>
              <w:rPr>
                <w:rFonts w:hint="default" w:eastAsia="Helvetica" w:cs="Helvetica" w:asciiTheme="minorAscii" w:hAnsiTheme="minorAscii"/>
                <w:i w:val="0"/>
                <w:iCs w:val="0"/>
                <w:caps w:val="0"/>
                <w:color w:val="0B0C0C"/>
                <w:spacing w:val="0"/>
                <w:sz w:val="22"/>
                <w:szCs w:val="22"/>
                <w:shd w:val="clear" w:fill="FFFFFF"/>
                <w:lang w:val="en-CA"/>
              </w:rPr>
            </w:pPr>
            <w:r>
              <w:rPr>
                <w:rFonts w:hint="default" w:eastAsia="Helvetica" w:cs="Helvetica" w:asciiTheme="minorAscii" w:hAnsiTheme="minorAscii"/>
                <w:i w:val="0"/>
                <w:iCs w:val="0"/>
                <w:caps w:val="0"/>
                <w:color w:val="0B0C0C"/>
                <w:spacing w:val="0"/>
                <w:sz w:val="22"/>
                <w:szCs w:val="22"/>
                <w:shd w:val="clear" w:fill="FFFFFF"/>
                <w:lang w:val="en-CA"/>
              </w:rPr>
              <w:t>Proportion of total government spending on education [1.a.2]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30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p>
            <w:pPr>
              <w:rPr>
                <w:rFonts w:hint="default"/>
                <w:lang w:val="en-CA"/>
              </w:rPr>
            </w:pPr>
            <w:r>
              <w:t>Ministry of Finance</w:t>
            </w:r>
            <w:r>
              <w:rPr>
                <w:rFonts w:hint="default"/>
                <w:lang w:val="en-CA"/>
              </w:rPr>
              <w:t xml:space="preserve"> (MoF)</w:t>
            </w:r>
          </w:p>
          <w:p>
            <w:pPr>
              <w:rPr>
                <w:rFonts w:hint="default"/>
                <w:lang w:val="en-CA"/>
              </w:rPr>
            </w:pPr>
            <w:r>
              <w:t>Ministry of Health</w:t>
            </w:r>
            <w:r>
              <w:rPr>
                <w:rFonts w:hint="default"/>
                <w:lang w:val="en-CA"/>
              </w:rPr>
              <w:t xml:space="preserve"> (MoH)</w:t>
            </w:r>
          </w:p>
          <w:p>
            <w:pPr>
              <w:rPr>
                <w:rFonts w:hint="default"/>
                <w:lang w:val="en-CA"/>
              </w:rPr>
            </w:pPr>
            <w:r>
              <w:rPr>
                <w:rFonts w:hint="default"/>
                <w:lang w:val="en-CA"/>
              </w:rPr>
              <w:t>Ministry of Gender, Children and Social Protection (MoGCSP)</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7932745"/>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20"/>
                <w:rFonts w:cs="Times New Roman"/>
                <w:color w:val="4A4A4A"/>
                <w:sz w:val="22"/>
                <w:szCs w:val="22"/>
              </w:rPr>
            </w:pPr>
            <w:r>
              <w:rPr>
                <w:rStyle w:val="20"/>
                <w:rFonts w:cs="Times New Roman"/>
                <w:color w:val="4A4A4A"/>
                <w:sz w:val="22"/>
                <w:szCs w:val="22"/>
              </w:rPr>
              <w:t>Definition:</w:t>
            </w:r>
          </w:p>
          <w:p>
            <w:pPr>
              <w:bidi w:val="0"/>
            </w:pPr>
            <w:r>
              <w:rPr>
                <w:color w:val="4A4A4A"/>
                <w:szCs w:val="22"/>
              </w:rPr>
              <w:t xml:space="preserve">Total general (local, regional and central) government expenditure on education (current, capital, and transfers), expressed as a percentage of total general government expenditure on all sectors (including health, education, social </w:t>
            </w:r>
            <w:r>
              <w:t>services, etc.). It includes expenditure funded by transfers from international sources to the government.</w:t>
            </w:r>
          </w:p>
          <w:p>
            <w:pPr>
              <w:bidi w:val="0"/>
            </w:pPr>
          </w:p>
          <w:p>
            <w:pPr>
              <w:bidi w:val="0"/>
            </w:pPr>
            <w:r>
              <w:t>Concepts:</w:t>
            </w:r>
          </w:p>
          <w:p>
            <w:pPr>
              <w:bidi w:val="0"/>
            </w:pPr>
            <w:r>
              <w:t>Government expenditure on education covers educational expenditure by all levels of government (local, regional</w:t>
            </w:r>
            <w:r>
              <w:rPr>
                <w:rFonts w:hint="default"/>
                <w:lang w:val="en-CA"/>
              </w:rPr>
              <w:t xml:space="preserve"> and</w:t>
            </w:r>
            <w:r>
              <w:t xml:space="preserve"> central) on the formal education system, from early childhood to tertiary education, in both public and private instructional and non-instructional institutions within the borders of a country.</w:t>
            </w:r>
          </w:p>
          <w:p>
            <w:pPr>
              <w:bidi w:val="0"/>
            </w:pPr>
            <w:r>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w:t>
            </w:r>
            <w:r>
              <w:t>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 </w:t>
            </w:r>
            <w:bookmarkStart w:id="20" w:name="_Hlk82634410"/>
            <w:r>
              <w:t>Programme Based Budgets of Ministry of Health</w:t>
            </w:r>
            <w:r>
              <w:rPr>
                <w:rFonts w:hint="default"/>
                <w:lang w:val="en-CA"/>
              </w:rPr>
              <w:t>,</w:t>
            </w:r>
            <w:r>
              <w:t>Education</w:t>
            </w:r>
            <w:r>
              <w:rPr>
                <w:rFonts w:hint="default"/>
                <w:lang w:val="en-CA"/>
              </w:rPr>
              <w:t xml:space="preserve"> &amp; Gender, Children and Social Protection,</w:t>
            </w:r>
            <w:r>
              <w:t xml:space="preserve"> 2019 &amp; 2020</w:t>
            </w:r>
            <w:bookmarkEnd w:id="20"/>
            <w:r>
              <w:t xml:space="preserv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688"/>
            <w:bookmarkStart w:id="22" w:name="_Toc37932747"/>
            <w:bookmarkStart w:id="23" w:name="_Toc36812575"/>
            <w:bookmarkStart w:id="24" w:name="_Toc36655612"/>
            <w:bookmarkStart w:id="25" w:name="_Toc368130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w:t>
            </w:r>
            <w:bookmarkStart w:id="39" w:name="_GoBack"/>
            <w:bookmarkEnd w:id="39"/>
            <w:r>
              <w:rPr>
                <w:rFonts w:hint="default" w:asciiTheme="minorAscii" w:hAnsiTheme="minorAscii" w:eastAsiaTheme="minorEastAsia" w:cstheme="minorEastAsia"/>
                <w:i w:val="0"/>
                <w:iCs w:val="0"/>
                <w:caps w:val="0"/>
                <w:color w:val="000000"/>
                <w:spacing w:val="0"/>
                <w:sz w:val="22"/>
                <w:szCs w:val="22"/>
              </w:rPr>
              <w:t>This is a strong measurement of the financial commitment governments make to target their services and transfers on the poor groups of society, reinforcing pro-poor development strategies.</w:t>
            </w:r>
          </w:p>
          <w:p>
            <w:pPr>
              <w:pStyle w:val="19"/>
              <w:keepNext w:val="0"/>
              <w:keepLines w:val="0"/>
              <w:widowControl/>
              <w:suppressLineNumbers w:val="0"/>
              <w:ind w:left="0" w:firstLine="0"/>
            </w:pPr>
            <w:r>
              <w:rPr>
                <w:rFonts w:hint="default" w:asciiTheme="minorAscii" w:hAnsiTheme="minorAscii" w:eastAsiaTheme="minorEastAsia" w:cstheme="minorEastAsia"/>
                <w:i w:val="0"/>
                <w:iCs w:val="0"/>
                <w:caps w:val="0"/>
                <w:color w:val="000000"/>
                <w:spacing w:val="0"/>
                <w:sz w:val="22"/>
                <w:szCs w:val="22"/>
              </w:rPr>
              <w:t>Further developments of the methodology and improvements in data availability may allow to expand this indicator to other vulnerable groups, such as women and children.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655613"/>
            <w:bookmarkStart w:id="27" w:name="_Toc36812576"/>
            <w:bookmarkStart w:id="28" w:name="_Toc36813076"/>
            <w:bookmarkStart w:id="29" w:name="_Toc37932748"/>
            <w:bookmarkStart w:id="30" w:name="_Toc36812689"/>
            <w:r>
              <w:rPr>
                <w:sz w:val="32"/>
                <w:szCs w:val="32"/>
              </w:rPr>
              <w:t>5. Data availability and disaggregation</w:t>
            </w:r>
            <w:bookmarkEnd w:id="26"/>
            <w:bookmarkEnd w:id="27"/>
            <w:bookmarkEnd w:id="28"/>
            <w:bookmarkEnd w:id="29"/>
            <w:bookmarkEnd w:id="30"/>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F5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061F"/>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AB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D16083"/>
    <w:rsid w:val="42B2602C"/>
    <w:rsid w:val="47AA1D59"/>
    <w:rsid w:val="48787B0A"/>
    <w:rsid w:val="652A6D49"/>
    <w:rsid w:val="67140C07"/>
    <w:rsid w:val="78120D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A69B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215631</Words>
  <Characters>1229098</Characters>
  <Lines>10242</Lines>
  <Paragraphs>2883</Paragraphs>
  <TotalTime>31</TotalTime>
  <ScaleCrop>false</ScaleCrop>
  <LinksUpToDate>false</LinksUpToDate>
  <CharactersWithSpaces>1441846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2021-10-17T22:26:00Z</dcterms:created>
  <dc:creator>Fanning, Stephen B (JMD)</dc:creator>
  <cp:lastModifiedBy>Doreen</cp:lastModifiedBy>
  <cp:lastPrinted>2020-04-16T14:23:00Z</cp:lastPrinted>
  <dcterms:modified xsi:type="dcterms:W3CDTF">2022-11-07T17:44:44Z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3B0A6D0BEB77450CAD0BDD65426E5E32</vt:lpwstr>
  </property>
</Properties>
</file>