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r>
            <w:rPr>
              <w:rFonts w:asciiTheme="minorHAnsi" w:hAnsiTheme="minorHAnsi" w:eastAsiaTheme="minorHAnsi" w:cstheme="minorBidi"/>
              <w:sz w:val="22"/>
              <w:szCs w:val="22"/>
              <w:lang w:val="en-US" w:eastAsia="en-US" w:bidi="ar-SA"/>
            </w:rPr>
            <w:t>1.5.3, 11.b.1, 13.1.2 Countries that reported having a National DRR Strategy which is aligned to the Sendai Framework to a certain extent (1 = YES; 0 = NO) [1.5.3, 11.b.1, 13.1.2] (SG_DSR_SFDRR)</w:t>
          </w:r>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1" w:name="_Toc37932742"/>
      <w:r>
        <w:t>Metadata Submission Form</w:t>
      </w:r>
      <w:bookmarkEnd w:id="1"/>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 w:name="_Toc36812684"/>
            <w:bookmarkStart w:id="3" w:name="_Toc36813071"/>
            <w:bookmarkStart w:id="4" w:name="_Toc37932743"/>
            <w:bookmarkStart w:id="5" w:name="_Toc36655608"/>
            <w:bookmarkStart w:id="6" w:name="_Toc36812571"/>
            <w:r>
              <w:rPr>
                <w:sz w:val="32"/>
                <w:szCs w:val="32"/>
              </w:rPr>
              <w:t>0. Indicator information</w:t>
            </w:r>
            <w:bookmarkEnd w:id="2"/>
            <w:bookmarkEnd w:id="3"/>
            <w:bookmarkEnd w:id="4"/>
            <w:bookmarkEnd w:id="5"/>
            <w:bookmarkEnd w:id="6"/>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1.5: By 2030, build the resilience of the poor and those in vulnerable situations and reduce their exposure and vulnerability to climate-related extreme events and other economic, social and environmental shocks and disasters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 xml:space="preserve">Indicator </w:t>
            </w:r>
            <w:r>
              <w:t>1.5.3</w:t>
            </w:r>
            <w:r>
              <w:rPr>
                <w:rFonts w:hint="default"/>
                <w:lang w:val="en-CA"/>
              </w:rPr>
              <w:t>:</w:t>
            </w:r>
            <w:bookmarkStart w:id="37" w:name="_GoBack"/>
            <w:bookmarkEnd w:id="37"/>
            <w:r>
              <w:t xml:space="preserve"> </w:t>
            </w:r>
            <w:r>
              <w:rPr>
                <w:rFonts w:hint="default"/>
                <w:lang w:val="en-CA"/>
              </w:rPr>
              <w:t>Number of countries that adopt and implement national disaster risk reduction strategies in line with the Sendai Framework for Disaster Risk Reduction 2015-2030.</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7" w:name="_Toc37932744"/>
            <w:bookmarkStart w:id="8" w:name="_Toc36812572"/>
            <w:bookmarkStart w:id="9" w:name="_Toc36812685"/>
            <w:bookmarkStart w:id="10" w:name="_Toc36813072"/>
            <w:bookmarkStart w:id="11" w:name="_Toc36655609"/>
            <w:r>
              <w:rPr>
                <w:sz w:val="32"/>
                <w:szCs w:val="32"/>
              </w:rPr>
              <w:t>1. Data reporter</w:t>
            </w:r>
            <w:bookmarkEnd w:id="7"/>
            <w:bookmarkEnd w:id="8"/>
            <w:bookmarkEnd w:id="9"/>
            <w:bookmarkEnd w:id="10"/>
            <w:bookmarkEnd w:id="11"/>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2" w:name="_Toc36813073"/>
            <w:bookmarkStart w:id="13" w:name="_Toc36812573"/>
            <w:bookmarkStart w:id="14" w:name="_Toc36812686"/>
            <w:bookmarkStart w:id="15" w:name="_Toc37932745"/>
            <w:bookmarkStart w:id="16" w:name="_Toc36655610"/>
            <w:r>
              <w:rPr>
                <w:sz w:val="32"/>
                <w:szCs w:val="32"/>
              </w:rPr>
              <w:t>2. Definition, concepts, and classifications</w:t>
            </w:r>
            <w:bookmarkEnd w:id="12"/>
            <w:bookmarkEnd w:id="13"/>
            <w:bookmarkEnd w:id="14"/>
            <w:bookmarkEnd w:id="15"/>
            <w:bookmarkEnd w:id="16"/>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7" w:name="_Toc36813074"/>
            <w:bookmarkStart w:id="18" w:name="_Toc37932746"/>
            <w:r>
              <w:rPr>
                <w:sz w:val="32"/>
                <w:szCs w:val="32"/>
              </w:rPr>
              <w:t>3. Data source type and data collection method</w:t>
            </w:r>
            <w:bookmarkEnd w:id="17"/>
            <w:bookmarkEnd w:id="18"/>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19" w:name="_Toc36812688"/>
            <w:bookmarkStart w:id="20" w:name="_Toc36812575"/>
            <w:bookmarkStart w:id="21" w:name="_Toc37932747"/>
            <w:bookmarkStart w:id="22" w:name="_Toc36813075"/>
            <w:bookmarkStart w:id="23" w:name="_Toc36655612"/>
            <w:r>
              <w:rPr>
                <w:sz w:val="32"/>
                <w:szCs w:val="32"/>
              </w:rPr>
              <w:t>4. Other methodological considerations</w:t>
            </w:r>
            <w:bookmarkEnd w:id="19"/>
            <w:bookmarkEnd w:id="20"/>
            <w:bookmarkEnd w:id="21"/>
            <w:bookmarkEnd w:id="22"/>
            <w:bookmarkEnd w:id="23"/>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4" w:name="_Toc36813076"/>
            <w:bookmarkStart w:id="25" w:name="_Toc36812689"/>
            <w:bookmarkStart w:id="26" w:name="_Toc36812576"/>
            <w:bookmarkStart w:id="27" w:name="_Toc36655613"/>
            <w:bookmarkStart w:id="28" w:name="_Toc37932748"/>
            <w:r>
              <w:rPr>
                <w:sz w:val="32"/>
                <w:szCs w:val="32"/>
              </w:rPr>
              <w:t>5. Data availability and disaggregation</w:t>
            </w:r>
            <w:bookmarkEnd w:id="24"/>
            <w:bookmarkEnd w:id="25"/>
            <w:bookmarkEnd w:id="26"/>
            <w:bookmarkEnd w:id="27"/>
            <w:bookmarkEnd w:id="28"/>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bookmarkEnd w:id="30"/>
    <w:bookmarkEnd w:id="31"/>
    <w:p>
      <w:pPr>
        <w:pStyle w:val="32"/>
        <w:rPr>
          <w:sz w:val="28"/>
          <w:szCs w:val="28"/>
        </w:rPr>
      </w:pPr>
      <w:bookmarkStart w:id="33" w:name="_Toc37932752"/>
      <w:r>
        <w:rPr>
          <w:sz w:val="28"/>
          <w:szCs w:val="28"/>
        </w:rPr>
        <w:t>A. Definitions of Metadata Concepts</w:t>
      </w:r>
      <w:bookmarkEnd w:id="33"/>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4" w:name="_Toc37932753"/>
      <w:bookmarkStart w:id="35" w:name="Mapping"/>
      <w:r>
        <w:rPr>
          <w:sz w:val="28"/>
          <w:szCs w:val="28"/>
        </w:rPr>
        <w:t>B. Mapping of SDMX Detailed Concepts to IAEG-SDG File Format</w:t>
      </w:r>
      <w:bookmarkEnd w:id="34"/>
    </w:p>
    <w:bookmarkEnd w:id="35"/>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6" w:name="_Toc37932754"/>
      <w:r>
        <w:rPr>
          <w:sz w:val="28"/>
          <w:szCs w:val="28"/>
        </w:rPr>
        <w:t>C. Mapping of IAEG-SDG File Format to SDMX Detailed Concepts</w:t>
      </w:r>
      <w:bookmarkEnd w:id="36"/>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2"/>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0B540F94"/>
    <w:rsid w:val="17985ABB"/>
    <w:rsid w:val="1F2406C8"/>
    <w:rsid w:val="20A75D5B"/>
    <w:rsid w:val="34824CA8"/>
    <w:rsid w:val="39912EF4"/>
    <w:rsid w:val="3FB54248"/>
    <w:rsid w:val="617B58CA"/>
    <w:rsid w:val="74C743C1"/>
    <w:rsid w:val="779C1699"/>
    <w:rsid w:val="7CDF3CE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qFormat="1" w:uiPriority="99" w:name="annotation text"/>
    <w:lsdException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4"/>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12</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2022-11-07T16:20:24Z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B189375A59F4476A9B91309BF3F6EB44</vt:lpwstr>
  </property>
</Properties>
</file>