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2.a.1 Agriculture orientation index for government expenditures [2.a.1] (AG_PRD_ORTIND)</w:t>
          </w:r>
          <w:bookmarkEnd w:id="1"/>
        </w:p>
      </w:sdtContent>
    </w:sdt>
    <w:permEnd w:id="1"/>
    <w:p>
      <w:pPr>
        <w:spacing w:after="0"/>
        <w:rPr>
          <w:sz w:val="26"/>
          <w:szCs w:val="26"/>
        </w:rPr>
      </w:pPr>
    </w:p>
    <w:sdt>
      <w:sdtPr>
        <w:alias w:val="SDG Series"/>
        <w:tag w:val="ddSeries"/>
        <w:id w:val="-1085909672"/>
        <w:placeholder>
          <w:docPart w:val="EFBA8A7E3C8F4015AB963B2B06E0892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2.a.1 Agriculture share of Government Expenditure [2.a.1] (AG_XPD_AGSGB)</w:t>
          </w:r>
        </w:p>
      </w:sdtContent>
    </w:sdt>
    <w:permEnd w:id="2"/>
    <w:p>
      <w:pPr>
        <w:spacing w:after="0"/>
        <w:rPr>
          <w:sz w:val="26"/>
          <w:szCs w:val="26"/>
        </w:rPr>
      </w:pPr>
    </w:p>
    <w:sdt>
      <w:sdtPr>
        <w:alias w:val="SDG Series"/>
        <w:tag w:val="ddSeries"/>
        <w:id w:val="314846456"/>
        <w:placeholder>
          <w:docPart w:val="C14A548B6ADA4F7F8A740B9DF7A50EF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3" w:edGrp="everyone"/>
          <w:r>
            <w:t>2.a.1 Agriculture value added share of GDP [2.a.1] (AG_PRD_AGVAS)</w:t>
          </w:r>
        </w:p>
      </w:sdtContent>
    </w:sdt>
    <w:permEnd w:id="3"/>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4" w:edGrp="everyone"/>
          <w:r>
            <w:t>Ghana (288)</w:t>
          </w:r>
        </w:p>
      </w:sdtContent>
    </w:sdt>
    <w:permEnd w:id="4"/>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5" w:edGrp="everyone"/>
          <w:r>
            <w:t>en</w:t>
          </w:r>
        </w:p>
      </w:sdtContent>
    </w:sdt>
    <w:permEnd w:id="5"/>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812684"/>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6"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6"/>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19"/>
              <w:bidi w:val="0"/>
              <w:rPr>
                <w:rFonts w:hint="default"/>
                <w:lang w:val="en-CA"/>
              </w:rPr>
            </w:pPr>
            <w:r>
              <w:rPr>
                <w:rFonts w:hint="default" w:ascii="Calibri" w:hAnsi="Calibri" w:eastAsia="SimSun" w:cs="Calibri"/>
                <w:sz w:val="22"/>
                <w:szCs w:val="22"/>
              </w:rPr>
              <w:t>Goal 2: End hunger, achieve food security and improved nutrition and promote sustainable agriculture</w:t>
            </w:r>
            <w:r>
              <w:rPr>
                <w:rFonts w:hint="default" w:ascii="Calibri" w:hAnsi="Calibri" w:cs="Calibri"/>
                <w:sz w:val="22"/>
                <w:szCs w:val="22"/>
                <w:lang w:val="en-CA"/>
              </w:rPr>
              <w: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2.a.1: The agriculture orientation index for government expenditures.</w:t>
            </w:r>
          </w:p>
        </w:tc>
      </w:tr>
      <w:permEnd w:id="9"/>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eastAsia="Helvetica" w:cs="Helvetica"/>
                <w:color w:val="0B0C0C"/>
                <w:shd w:val="clear" w:color="auto" w:fill="FFFFFF"/>
              </w:rPr>
            </w:pPr>
            <w:r>
              <w:rPr>
                <w:rFonts w:eastAsia="Helvetica" w:cs="Helvetica"/>
                <w:color w:val="0B0C0C"/>
                <w:shd w:val="clear" w:color="auto" w:fill="FFFFFF"/>
              </w:rPr>
              <w:t>Agriculture orientation index for government expenditures [2.a.1]</w:t>
            </w:r>
          </w:p>
          <w:p>
            <w:pPr>
              <w:rPr>
                <w:rFonts w:eastAsia="Helvetica" w:cs="Helvetica"/>
                <w:color w:val="0B0C0C"/>
                <w:shd w:val="clear" w:color="auto" w:fill="FFFFFF"/>
              </w:rPr>
            </w:pPr>
            <w:r>
              <w:rPr>
                <w:rFonts w:eastAsia="Helvetica" w:cs="Helvetica"/>
                <w:color w:val="0B0C0C"/>
                <w:shd w:val="clear" w:color="auto" w:fill="FFFFFF"/>
              </w:rPr>
              <w:t>Agriculture share of Government Expenditure [2.a.1]</w:t>
            </w:r>
          </w:p>
          <w:p>
            <w:pPr>
              <w:rPr>
                <w:rFonts w:ascii="Helvetica" w:hAnsi="Helvetica" w:eastAsia="Helvetica" w:cs="Helvetica"/>
                <w:color w:val="0B0C0C"/>
                <w:sz w:val="12"/>
                <w:szCs w:val="12"/>
                <w:shd w:val="clear" w:color="auto" w:fill="FFFFFF"/>
              </w:rPr>
            </w:pPr>
            <w:r>
              <w:rPr>
                <w:rFonts w:eastAsia="Helvetica" w:cs="Helvetica"/>
                <w:color w:val="0B0C0C"/>
                <w:shd w:val="clear" w:color="auto" w:fill="FFFFFF"/>
              </w:rPr>
              <w:t>Agriculture value added share of GDP [2.a.1]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1"/>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 xml:space="preserve">17.1.1 </w:t>
            </w:r>
          </w:p>
          <w:p>
            <w:r>
              <w:t>17.1.2</w:t>
            </w:r>
          </w:p>
        </w:tc>
      </w:tr>
      <w:permEnd w:id="12"/>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3"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pPr>
            <w:r>
              <w:rPr>
                <w:sz w:val="22"/>
                <w:szCs w:val="22"/>
              </w:rPr>
              <w:t>Food and Agriculture Organization of the United Nations (FAO)</w:t>
            </w:r>
          </w:p>
        </w:tc>
      </w:tr>
      <w:permEnd w:id="13"/>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812685"/>
            <w:bookmarkStart w:id="11" w:name="_Toc36655609"/>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4"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p>
            <w:pPr>
              <w:rPr>
                <w:rFonts w:hint="default"/>
                <w:lang w:val="en-CA"/>
              </w:rPr>
            </w:pPr>
            <w:r>
              <w:t>Ministry of Finance</w:t>
            </w:r>
            <w:r>
              <w:rPr>
                <w:rFonts w:hint="default"/>
                <w:lang w:val="en-CA"/>
              </w:rPr>
              <w:t xml:space="preserve"> (MoF)</w:t>
            </w: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1"/>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3073"/>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2"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Style w:val="20"/>
                <w:rFonts w:cstheme="minorHAnsi"/>
              </w:rPr>
            </w:pPr>
            <w:r>
              <w:rPr>
                <w:rStyle w:val="20"/>
                <w:rFonts w:cstheme="minorHAnsi"/>
              </w:rPr>
              <w:t>Definition:</w:t>
            </w:r>
          </w:p>
          <w:p>
            <w:pPr>
              <w:rPr>
                <w:rFonts w:cstheme="minorHAnsi"/>
              </w:rPr>
            </w:pPr>
            <w:r>
              <w:rPr>
                <w:rFonts w:cstheme="minorHAnsi"/>
              </w:rPr>
              <w:t xml:space="preserve"> The Agriculture Orientation Index (AOI) for Government Expenditures is defined as the Agriculture Share of Government Expenditures, divided by the Agriculture Share of GDP, where Agriculture refers to the agriculture, forestry, fishing and hunting sector. The measure i</w:t>
            </w:r>
            <w:r>
              <w:rPr>
                <w:rFonts w:hint="default" w:cstheme="minorHAnsi"/>
                <w:lang w:val="en-CA"/>
              </w:rPr>
              <w:t xml:space="preserve">s </w:t>
            </w:r>
            <w:bookmarkStart w:id="38" w:name="_GoBack"/>
            <w:bookmarkEnd w:id="38"/>
            <w:r>
              <w:rPr>
                <w:rFonts w:cstheme="minorHAnsi"/>
              </w:rPr>
              <w:t>a currency-free index, calculated as the ratio of these two shares. National governments are requested to compile Government Expenditures according to the international Classification of Functions of Government (COFO</w:t>
            </w:r>
            <w:r>
              <w:rPr>
                <w:rFonts w:hint="default" w:cstheme="minorHAnsi"/>
                <w:lang w:val="en-CA"/>
              </w:rPr>
              <w:t>G</w:t>
            </w:r>
            <w:r>
              <w:rPr>
                <w:rFonts w:cstheme="minorHAnsi"/>
              </w:rPr>
              <w:t>)</w:t>
            </w:r>
            <w:r>
              <w:rPr>
                <w:rFonts w:hint="default" w:cstheme="minorHAnsi"/>
                <w:lang w:val="en-CA"/>
              </w:rPr>
              <w:t xml:space="preserve"> codes</w:t>
            </w:r>
            <w:r>
              <w:rPr>
                <w:rFonts w:cstheme="minorHAnsi"/>
              </w:rPr>
              <w:t xml:space="preserve"> and Agriculture Share of GDP according to the System of National Accounts (SNA).</w:t>
            </w:r>
          </w:p>
          <w:p>
            <w:pPr>
              <w:rPr>
                <w:rFonts w:cstheme="minorHAnsi"/>
              </w:rPr>
            </w:pPr>
            <w:r>
              <w:rPr>
                <w:rFonts w:cstheme="minorHAnsi"/>
              </w:rPr>
              <w:t>GVA refers to Gross Value Added, which is an output measure of Gross Domestic Product (GDP).</w:t>
            </w:r>
            <w:r>
              <w:rPr>
                <w:rFonts w:hint="default" w:cstheme="minorHAnsi"/>
              </w:rPr>
              <w:t> </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Government Expenditure comprise all expense and acquisition of non-financial assets associated with supporting a particular sector, as defined in the </w:t>
            </w:r>
            <w:r>
              <w:rPr>
                <w:rFonts w:asciiTheme="minorHAnsi" w:hAnsiTheme="minorHAnsi" w:cstheme="minorHAnsi"/>
                <w:color w:val="000000"/>
                <w:sz w:val="22"/>
                <w:szCs w:val="22"/>
              </w:rPr>
              <w:fldChar w:fldCharType="begin"/>
            </w:r>
            <w:r>
              <w:rPr>
                <w:rFonts w:asciiTheme="minorHAnsi" w:hAnsiTheme="minorHAnsi" w:cstheme="minorHAnsi"/>
                <w:color w:val="000000"/>
                <w:sz w:val="22"/>
                <w:szCs w:val="22"/>
              </w:rPr>
              <w:instrText xml:space="preserve"> HYPERLINK "https://www.imf.org/external/Pubs/FT/GFS/Manual/2014/gfsfinal.pdf" </w:instrText>
            </w:r>
            <w:r>
              <w:rPr>
                <w:rFonts w:asciiTheme="minorHAnsi" w:hAnsiTheme="minorHAnsi" w:cstheme="minorHAnsi"/>
                <w:color w:val="000000"/>
                <w:sz w:val="22"/>
                <w:szCs w:val="22"/>
              </w:rPr>
              <w:fldChar w:fldCharType="separate"/>
            </w:r>
            <w:r>
              <w:rPr>
                <w:rStyle w:val="18"/>
                <w:rFonts w:asciiTheme="minorHAnsi" w:hAnsiTheme="minorHAnsi" w:cstheme="minorHAnsi"/>
                <w:color w:val="000000"/>
                <w:sz w:val="22"/>
                <w:szCs w:val="22"/>
              </w:rPr>
              <w:t>Government Finance Statistics Manual (GFSM) 2014</w:t>
            </w:r>
            <w:r>
              <w:rPr>
                <w:rFonts w:asciiTheme="minorHAnsi" w:hAnsiTheme="minorHAnsi" w:cstheme="minorHAnsi"/>
                <w:color w:val="000000"/>
                <w:sz w:val="22"/>
                <w:szCs w:val="22"/>
              </w:rPr>
              <w:fldChar w:fldCharType="end"/>
            </w:r>
            <w:r>
              <w:rPr>
                <w:rFonts w:asciiTheme="minorHAnsi" w:hAnsiTheme="minorHAnsi" w:cstheme="minorHAnsi"/>
                <w:color w:val="000000"/>
                <w:sz w:val="22"/>
                <w:szCs w:val="22"/>
              </w:rPr>
              <w:t xml:space="preserve"> developed by the International Monetary Fund (IMF). </w:t>
            </w:r>
          </w:p>
          <w:p>
            <w:pPr>
              <w:pStyle w:val="19"/>
              <w:rPr>
                <w:rFonts w:cstheme="minorHAnsi"/>
              </w:rPr>
            </w:pPr>
            <w:r>
              <w:rPr>
                <w:rFonts w:asciiTheme="minorHAnsi" w:hAnsiTheme="minorHAnsi" w:cstheme="minorHAnsi"/>
                <w:color w:val="000000"/>
                <w:sz w:val="22"/>
                <w:szCs w:val="22"/>
              </w:rPr>
              <w:t>NOTE: Transactions in assets and liabilities, such as loans by general government units (disbursement and repayment), are excluded when compiling COFOG data for GFS reporting purposes.</w:t>
            </w:r>
          </w:p>
        </w:tc>
      </w:tr>
      <w:permEnd w:id="23"/>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Index</w:t>
            </w:r>
          </w:p>
          <w:p>
            <w:r>
              <w:t>Percentage (%)</w:t>
            </w:r>
          </w:p>
        </w:tc>
      </w:tr>
      <w:permEnd w:id="24"/>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5"/>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6"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National Accounts, 2019</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 xml:space="preserve">Ghana </w:t>
            </w:r>
            <w:r>
              <w:rPr>
                <w:rFonts w:hint="default"/>
                <w:lang w:val="en-CA"/>
              </w:rPr>
              <w:t>S</w:t>
            </w:r>
            <w:r>
              <w:t xml:space="preserve">tatistical </w:t>
            </w:r>
            <w:r>
              <w:rPr>
                <w:rFonts w:hint="default"/>
                <w:lang w:val="en-CA"/>
              </w:rPr>
              <w:t>S</w:t>
            </w:r>
            <w:r>
              <w:t>ervice</w:t>
            </w:r>
            <w:r>
              <w:rPr>
                <w:rFonts w:hint="default"/>
                <w:lang w:val="en-CA"/>
              </w:rPr>
              <w:t xml:space="preserve"> (GSS)</w:t>
            </w: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3"/>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3075"/>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4"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An Agriculture Orientation Index (AOI) greater than 1 reflects a higher orientation towards the agriculture sector, which receives a higher share of government spending relative to its contribution to economic value-added. An AOI less than 1 reflects a lower orientation to agriculture, while an AOI equal to 1 reflects neutrality in a government’s orientation to the agriculture sector.</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includes spending on sector policies and programs; soil improvement and soil degradation control; irrigation and reservoirs for agricultural use; animal health management, livestock research and training in animal husbandry</w:t>
            </w:r>
            <w:r>
              <w:rPr>
                <w:rFonts w:hint="default" w:asciiTheme="minorHAnsi" w:hAnsiTheme="minorHAnsi" w:cstheme="minorHAnsi"/>
                <w:color w:val="000000"/>
                <w:sz w:val="22"/>
                <w:szCs w:val="22"/>
                <w:lang w:val="en-CA"/>
              </w:rPr>
              <w:t>,</w:t>
            </w:r>
            <w:r>
              <w:rPr>
                <w:rFonts w:asciiTheme="minorHAnsi" w:hAnsiTheme="minorHAnsi" w:cstheme="minorHAnsi"/>
                <w:color w:val="000000"/>
                <w:sz w:val="22"/>
                <w:szCs w:val="22"/>
              </w:rPr>
              <w:t xml:space="preserve"> marine/freshwater biological research</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afforestation and other forestry projects etc.</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Spending in these agricultural activities helps to increase sector efficiency, productivity and income growth by increasing physical or human capital and/or reducing inter-temporal budget constraints.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Government spending in agriculture is essential to address these market failures and the periodic need for income redistribution. This leads to several potential indicators for the SDGs, which include: a) the level of Government Expenditure on Agriculture (GEA); b) the Agriculture share of Government Expenditure, and c) the AOI for Government Expenditures.</w:t>
            </w:r>
          </w:p>
          <w:p>
            <w:pPr>
              <w:pStyle w:val="19"/>
              <w:rPr>
                <w:rFonts w:cstheme="minorHAnsi"/>
              </w:rPr>
            </w:pPr>
            <w:r>
              <w:rPr>
                <w:rFonts w:asciiTheme="minorHAnsi" w:hAnsiTheme="minorHAnsi" w:cstheme="minorHAnsi"/>
                <w:color w:val="000000"/>
                <w:sz w:val="22"/>
                <w:szCs w:val="22"/>
              </w:rPr>
              <w:t>The AOI index takes into account a country’s economic size, Agriculture’s contribution to GDP, and the total amount of Government Expenditure. While the indicator does not allow setting of a universal and achievable target, it is useful to interpret the AOI in combination with its numerator and denominator separately: the Agriculture share of Government Expenditure and the Agriculture value-added Share of GDP.</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Government Expenditure on Agriculture expressed as a percentage of Total Government (Public) expenditure.</w:t>
            </w: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5"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5"/>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7932748"/>
            <w:bookmarkStart w:id="27" w:name="_Toc36813076"/>
            <w:bookmarkStart w:id="28" w:name="_Toc36812689"/>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6"/>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7"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7"/>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8"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ascii="Calibri" w:hAnsi="Calibri" w:eastAsia="Helvetica" w:cs="Calibri"/>
                <w:i w:val="0"/>
                <w:iCs w:val="0"/>
                <w:caps w:val="0"/>
                <w:color w:val="0B0C0C"/>
                <w:spacing w:val="0"/>
                <w:sz w:val="22"/>
                <w:szCs w:val="22"/>
                <w:u w:val="none"/>
                <w:shd w:val="clear" w:fill="FFDD00"/>
              </w:rPr>
              <w:fldChar w:fldCharType="begin"/>
            </w:r>
            <w:r>
              <w:rPr>
                <w:rFonts w:hint="default" w:ascii="Calibri" w:hAnsi="Calibri" w:eastAsia="Helvetica" w:cs="Calibri"/>
                <w:i w:val="0"/>
                <w:iCs w:val="0"/>
                <w:caps w:val="0"/>
                <w:color w:val="0B0C0C"/>
                <w:spacing w:val="0"/>
                <w:sz w:val="22"/>
                <w:szCs w:val="22"/>
                <w:u w:val="none"/>
                <w:shd w:val="clear" w:fill="FFDD00"/>
              </w:rPr>
              <w:instrText xml:space="preserve"> HYPERLINK "https://unstats.un.org/sdgs/metadata/files/Metadata-02-0A-01.pdf" </w:instrText>
            </w:r>
            <w:r>
              <w:rPr>
                <w:rFonts w:hint="default" w:ascii="Calibri" w:hAnsi="Calibri" w:eastAsia="Helvetica" w:cs="Calibri"/>
                <w:i w:val="0"/>
                <w:iCs w:val="0"/>
                <w:caps w:val="0"/>
                <w:color w:val="0B0C0C"/>
                <w:spacing w:val="0"/>
                <w:sz w:val="22"/>
                <w:szCs w:val="22"/>
                <w:u w:val="none"/>
                <w:shd w:val="clear" w:fill="FFDD00"/>
              </w:rPr>
              <w:fldChar w:fldCharType="separate"/>
            </w:r>
            <w:r>
              <w:rPr>
                <w:rStyle w:val="18"/>
                <w:rFonts w:hint="default" w:ascii="Calibri" w:hAnsi="Calibri" w:eastAsia="Helvetica" w:cs="Calibri"/>
                <w:i w:val="0"/>
                <w:iCs w:val="0"/>
                <w:caps w:val="0"/>
                <w:spacing w:val="0"/>
                <w:sz w:val="22"/>
                <w:szCs w:val="22"/>
                <w:shd w:val="clear" w:fill="FFDD00"/>
              </w:rPr>
              <w:t>SDG Indicators — SDG Indicators (un.org)</w:t>
            </w:r>
            <w:r>
              <w:rPr>
                <w:rFonts w:hint="default" w:ascii="Calibri" w:hAnsi="Calibri" w:eastAsia="Helvetica" w:cs="Calibri"/>
                <w:i w:val="0"/>
                <w:iCs w:val="0"/>
                <w:caps w:val="0"/>
                <w:color w:val="0B0C0C"/>
                <w:spacing w:val="0"/>
                <w:sz w:val="22"/>
                <w:szCs w:val="22"/>
                <w:u w:val="none"/>
                <w:shd w:val="clear" w:fill="FFDD00"/>
              </w:rPr>
              <w:fldChar w:fldCharType="end"/>
            </w:r>
          </w:p>
        </w:tc>
      </w:tr>
      <w:permEnd w:id="48"/>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Helvetica">
    <w:altName w:val="Arial"/>
    <w:panose1 w:val="020B0604020202020204"/>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5395D"/>
    <w:rsid w:val="00462DB8"/>
    <w:rsid w:val="00463306"/>
    <w:rsid w:val="00470BED"/>
    <w:rsid w:val="00474834"/>
    <w:rsid w:val="0048556F"/>
    <w:rsid w:val="00490C58"/>
    <w:rsid w:val="00491147"/>
    <w:rsid w:val="0049487F"/>
    <w:rsid w:val="004962C5"/>
    <w:rsid w:val="004A31AD"/>
    <w:rsid w:val="004C06A8"/>
    <w:rsid w:val="004C665C"/>
    <w:rsid w:val="004D6154"/>
    <w:rsid w:val="004D68B6"/>
    <w:rsid w:val="004E3F4C"/>
    <w:rsid w:val="004E5702"/>
    <w:rsid w:val="004E5E1A"/>
    <w:rsid w:val="004F4140"/>
    <w:rsid w:val="004F4616"/>
    <w:rsid w:val="00500E13"/>
    <w:rsid w:val="00503263"/>
    <w:rsid w:val="0051097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6212"/>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12"/>
    <w:rsid w:val="007B2E39"/>
    <w:rsid w:val="007C2733"/>
    <w:rsid w:val="007C63C4"/>
    <w:rsid w:val="007C7C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CEC"/>
    <w:rsid w:val="00907513"/>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5875"/>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224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2AE4"/>
    <w:rsid w:val="00BD7158"/>
    <w:rsid w:val="00C026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91B"/>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7172"/>
    <w:rsid w:val="00FF642D"/>
    <w:rsid w:val="03F41186"/>
    <w:rsid w:val="19E377F3"/>
    <w:rsid w:val="1F286D65"/>
    <w:rsid w:val="5BE37569"/>
    <w:rsid w:val="60C048E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character" w:customStyle="1" w:styleId="55">
    <w:name w:val="hidden-sm"/>
    <w:basedOn w:val="4"/>
    <w:qFormat/>
    <w:uiPriority w:val="0"/>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7">
    <w:name w:val="apple-converted-space"/>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EFBA8A7E3C8F4015AB963B2B06E08925"/>
        <w:style w:val=""/>
        <w:category>
          <w:name w:val="General"/>
          <w:gallery w:val="placeholder"/>
        </w:category>
        <w:types>
          <w:type w:val="bbPlcHdr"/>
        </w:types>
        <w:behaviors>
          <w:behavior w:val="content"/>
        </w:behaviors>
        <w:description w:val=""/>
        <w:guid w:val="{4B7EA99B-9112-46BC-A0DF-7CEEB857549F}"/>
      </w:docPartPr>
      <w:docPartBody>
        <w:p>
          <w:pPr>
            <w:pStyle w:val="10"/>
          </w:pPr>
          <w:r>
            <w:rPr>
              <w:rStyle w:val="4"/>
            </w:rPr>
            <w:t>Choose an item.</w:t>
          </w:r>
        </w:p>
      </w:docPartBody>
    </w:docPart>
    <w:docPart>
      <w:docPartPr>
        <w:name w:val="C14A548B6ADA4F7F8A740B9DF7A50EF7"/>
        <w:style w:val=""/>
        <w:category>
          <w:name w:val="General"/>
          <w:gallery w:val="placeholder"/>
        </w:category>
        <w:types>
          <w:type w:val="bbPlcHdr"/>
        </w:types>
        <w:behaviors>
          <w:behavior w:val="content"/>
        </w:behaviors>
        <w:description w:val=""/>
        <w:guid w:val="{4046250A-7920-4D70-BF91-0BA7680366BD}"/>
      </w:docPartPr>
      <w:docPartBody>
        <w:p>
          <w:pPr>
            <w:pStyle w:val="11"/>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EA3"/>
    <w:rsid w:val="00113BCD"/>
    <w:rsid w:val="00296525"/>
    <w:rsid w:val="0036646D"/>
    <w:rsid w:val="006153AA"/>
    <w:rsid w:val="0064052E"/>
    <w:rsid w:val="007244E0"/>
    <w:rsid w:val="00760A1F"/>
    <w:rsid w:val="00DA061B"/>
    <w:rsid w:val="00E4246B"/>
    <w:rsid w:val="00E95E77"/>
    <w:rsid w:val="00F538FA"/>
    <w:rsid w:val="00FE140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EFBA8A7E3C8F4015AB963B2B06E08925"/>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1">
    <w:name w:val="C14A548B6ADA4F7F8A740B9DF7A50EF7"/>
    <w:qFormat/>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14</Pages>
  <Words>216477</Words>
  <Characters>1233925</Characters>
  <Lines>10282</Lines>
  <Paragraphs>2895</Paragraphs>
  <TotalTime>23</TotalTime>
  <ScaleCrop>false</ScaleCrop>
  <LinksUpToDate>false</LinksUpToDate>
  <CharactersWithSpaces>1447507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2021-10-18T11:11:00Z</dcterms:created>
  <dc:creator>Fanning, Stephen B (JMD)</dc:creator>
  <cp:lastModifiedBy>Doreen</cp:lastModifiedBy>
  <cp:lastPrinted>2020-04-16T14:23:00Z</cp:lastPrinted>
  <dcterms:modified xsi:type="dcterms:W3CDTF">2022-11-08T15:01:50Z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D72B8FADD3A34030AA64A5D9B7B639FC</vt:lpwstr>
  </property>
</Properties>
</file>