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3.c.1 Health workder density [3.c.1] (SH_MED_DEN)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3.c: Substantially increase health financing and the recruitment, development, training and retention of the health workforce in developing countries, especially in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3.c.1: Health worker density and distribution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Doctor to population ratio</w:t>
            </w:r>
          </w:p>
          <w:p>
            <w:r>
              <w:rPr>
                <w:rFonts w:cstheme="minorHAnsi"/>
                <w:color w:val="0B0C0C"/>
                <w:shd w:val="clear" w:color="auto" w:fill="FFFFFF"/>
              </w:rPr>
              <w:t>Nurse to population ratio</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Health Workforce Department, 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Density of medical doctors: The density of medical doctors is defined as the number of medical doctors, including generalists and specialist medical practitioners per 10,000 population in the given national and/or subnational area.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"https://www.ilo.org/public/english/bureau/stat/isco/isco08/"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The International Standard Classification of Occupations (ISCO) unit group codes</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included in this category are 221, 2211 and 2212 of ISCO-08.</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nursing and midwifery personnel: The density of nursing and midwifery personnel is defined as the number of nursing and midwifery personnel per 10,000 population in the given national and/or</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subnational area.The ISCO-08 codes included in this category are 2221, 2222, 3221 and 3222.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dentists: The density of dentists is defined as the number of dentists per 10,000 population in the given national and/or subnational area. The ISCO-08 codes included in this category are 2261.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Density of pharmacists: The density of pharmacists is defined as the number of pharmacists per 10,000 population in the given national and/or subnational area. The ISCO-08 codes included in this category are 2262.</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Health worker distribution by sex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male medical doctors: Male doctors as percentage of all medical doctors at national level. The ISCO-08 codes included in this category are 221, 2211 and 2212.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female medical doctors: Female doctors as percentage of all medical doctors at national level. The ISCO-08 codes included in this category are 221, 2211 and 2212.</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male nursing personnel: Male nursing personnel as percentage of all nursing personnel at national level. The ISCO-08 codes included in this category are 2221 and 3221.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Percentage of female nursing personnel: Female nursing personnel as percentage of all nursing personnel at national level. The ISCO-08 codes included in this category are 2221 and 3221.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Ratio</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Holistic Assessment of the Health Sector</w:t>
            </w:r>
            <w:r>
              <w:rPr>
                <w:rFonts w:hint="default"/>
                <w:lang w:val="en-CA"/>
              </w:rPr>
              <w:t xml:space="preserve">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1A1A1A"/>
              </w:rPr>
              <w:t>A health workforce of adequate size and skill mix, as well as required teachers and trainers, are critical to the attainment of any population health goal. This includes the achievement of universal health coverage and the health-related targets of the United Nations Sustainable Development Goals.</w:t>
            </w:r>
            <w:r>
              <w:rPr>
                <w:rFonts w:eastAsia="SimSun" w:cstheme="minorHAnsi"/>
                <w:color w:val="1A1A1A"/>
              </w:rPr>
              <w:br w:type="textWrapping"/>
            </w:r>
            <w:r>
              <w:rPr>
                <w:rFonts w:eastAsia="SimSun" w:cstheme="minorHAnsi"/>
                <w:color w:val="1A1A1A"/>
              </w:rPr>
              <w:t xml:space="preserve"> A suboptimal allocation of health workers is one of the main challenges that directly influences the availability, accessibility, quality and performance of national health services. It is clear that efforts to achieve the SDGs and UHC are thwarted by these health workforce challenges.</w:t>
            </w:r>
            <w:r>
              <w:rPr>
                <w:rFonts w:eastAsia="SimSun" w:cstheme="minorHAnsi"/>
                <w:color w:val="1A1A1A"/>
              </w:rPr>
              <w:br w:type="textWrapping"/>
            </w:r>
            <w:r>
              <w:rPr>
                <w:rFonts w:eastAsia="SimSun" w:cstheme="minorHAnsi"/>
                <w:color w:val="1A1A1A"/>
              </w:rPr>
              <w:t xml:space="preserve">Therefore, the World Health Organization (WHO) and its partners developed the </w:t>
            </w:r>
            <w:r>
              <w:rPr>
                <w:rFonts w:eastAsia="SimSun" w:cstheme="minorHAnsi"/>
                <w:color w:val="1A1A1A"/>
              </w:rPr>
              <w:fldChar w:fldCharType="begin"/>
            </w:r>
            <w:r>
              <w:rPr>
                <w:rFonts w:eastAsia="SimSun" w:cstheme="minorHAnsi"/>
                <w:color w:val="1A1A1A"/>
              </w:rPr>
              <w:instrText xml:space="preserve"> HYPERLINK "https://apps.who.int/iris/bitstream/handle/10665/250368/9789241511131-eng.pdf" </w:instrText>
            </w:r>
            <w:r>
              <w:rPr>
                <w:rFonts w:eastAsia="SimSun" w:cstheme="minorHAnsi"/>
                <w:color w:val="1A1A1A"/>
              </w:rPr>
              <w:fldChar w:fldCharType="separate"/>
            </w:r>
            <w:r>
              <w:rPr>
                <w:rStyle w:val="18"/>
                <w:rFonts w:eastAsia="SimSun" w:cstheme="minorHAnsi"/>
                <w:color w:val="1A1A1A"/>
              </w:rPr>
              <w:t>Global Strategy on Human Resources for Health: Workforce 2030 (GSHRH)</w:t>
            </w:r>
            <w:r>
              <w:rPr>
                <w:rFonts w:eastAsia="SimSun" w:cstheme="minorHAnsi"/>
                <w:color w:val="1A1A1A"/>
              </w:rPr>
              <w:fldChar w:fldCharType="end"/>
            </w:r>
            <w:r>
              <w:rPr>
                <w:rFonts w:eastAsia="SimSun" w:cstheme="minorHAnsi"/>
                <w:color w:val="1A1A1A"/>
              </w:rPr>
              <w:t>, which sets out the policy agenda to ensure a health workforce that is fit for purpose to attain the targets of UHC and the SDGs (WHO 2016).</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imSun"/>
    <w:panose1 w:val="00000000000000000000"/>
    <w:charset w:val="86"/>
    <w:family w:val="auto"/>
    <w:pitch w:val="default"/>
    <w:sig w:usb0="00000000" w:usb1="00000000" w:usb2="00000016" w:usb3="00000000" w:csb0="0004000F"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9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073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320"/>
    <w:rsid w:val="001B6829"/>
    <w:rsid w:val="001C1BC2"/>
    <w:rsid w:val="001E1E26"/>
    <w:rsid w:val="001F0C55"/>
    <w:rsid w:val="001F31C6"/>
    <w:rsid w:val="00202B2D"/>
    <w:rsid w:val="0020618B"/>
    <w:rsid w:val="0022035F"/>
    <w:rsid w:val="002313D6"/>
    <w:rsid w:val="00235F8D"/>
    <w:rsid w:val="002420F7"/>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453"/>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60F6E"/>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11F5"/>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1AB7"/>
    <w:rsid w:val="00F8462A"/>
    <w:rsid w:val="00F862A7"/>
    <w:rsid w:val="00F93763"/>
    <w:rsid w:val="00F939A2"/>
    <w:rsid w:val="00F96E8D"/>
    <w:rsid w:val="00FA20D9"/>
    <w:rsid w:val="00FB03D0"/>
    <w:rsid w:val="00FD54D7"/>
    <w:rsid w:val="00FF642D"/>
    <w:rsid w:val="1A8F336A"/>
    <w:rsid w:val="325D5CAD"/>
    <w:rsid w:val="4F801999"/>
    <w:rsid w:val="5CE63C19"/>
    <w:rsid w:val="6EF55988"/>
    <w:rsid w:val="71EE60D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4955"/>
    <w:rsid w:val="00296525"/>
    <w:rsid w:val="0036646D"/>
    <w:rsid w:val="00385FD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215918</Words>
  <Characters>1230738</Characters>
  <Lines>10256</Lines>
  <Paragraphs>2887</Paragraphs>
  <TotalTime>947</TotalTime>
  <ScaleCrop>false</ScaleCrop>
  <LinksUpToDate>false</LinksUpToDate>
  <CharactersWithSpaces>1443769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2022-11-08T22:23:15Z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6383A56F3D2C4B45B5E5FF5890E7FBD9</vt:lpwstr>
  </property>
</Properties>
</file>