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4.1.1 Proportion of children and young people achieving a minimum proficiency level in reading and mathematics [4.1.1] (SE_TOT_PRFL)</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571"/>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ascii="Calibri" w:hAnsi="Calibri" w:eastAsia="SimSun" w:cs="Calibri"/>
                <w:sz w:val="22"/>
                <w:szCs w:val="22"/>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jc w:val="both"/>
            </w:pPr>
            <w:r>
              <w:rPr>
                <w:color w:val="333333"/>
              </w:rPr>
              <w:t>Target 4.1: By 2030, ensure that all girls and boys complete free, equitable and quality primary and secondary education leading to relevant and effective learning outcomes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rPr>
                <w:rFonts w:hint="default"/>
              </w:rPr>
              <w:t>Indicator 4.1.1: Proportion of children and young people: (a) in grades 2/3; (b) at the end of primary; and (c) at the end of lower secondary achieving at least a minimum proficiency level in (i) reading and (ii) mathematics,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cstheme="minorHAnsi"/>
                <w:color w:val="0B0C0C"/>
                <w:shd w:val="clear" w:color="auto" w:fill="FFFFFF"/>
              </w:rPr>
            </w:pPr>
            <w:r>
              <w:rPr>
                <w:rFonts w:cstheme="minorHAnsi"/>
                <w:color w:val="0B0C0C"/>
                <w:shd w:val="clear" w:color="auto" w:fill="FFFFFF"/>
              </w:rPr>
              <w:t>Children who demonstrated foundational literacy and numeracy by locality type (Percent)</w:t>
            </w:r>
          </w:p>
          <w:p>
            <w:pPr>
              <w:jc w:val="both"/>
              <w:rPr>
                <w:rFonts w:cstheme="minorHAnsi"/>
                <w:color w:val="0B0C0C"/>
                <w:shd w:val="clear" w:color="auto" w:fill="FFFFFF"/>
              </w:rPr>
            </w:pPr>
            <w:r>
              <w:rPr>
                <w:rFonts w:cstheme="minorHAnsi"/>
                <w:color w:val="0B0C0C"/>
                <w:shd w:val="clear" w:color="auto" w:fill="FFFFFF"/>
              </w:rPr>
              <w:t>Foundational literacy and numeracy skills of students in P4, P6 and JHS by sex, (Percent)</w:t>
            </w:r>
          </w:p>
          <w:p>
            <w:pPr>
              <w:jc w:val="both"/>
              <w:rPr>
                <w:rFonts w:cstheme="minorHAnsi"/>
                <w:color w:val="0B0C0C"/>
                <w:shd w:val="clear" w:color="auto" w:fill="FFFFFF"/>
              </w:rPr>
            </w:pPr>
            <w:r>
              <w:rPr>
                <w:rFonts w:cstheme="minorHAnsi"/>
                <w:color w:val="0B0C0C"/>
                <w:shd w:val="clear" w:color="auto" w:fill="FFFFFF"/>
              </w:rPr>
              <w:t>Proportion of pupils in JHS that passed Mathematics and English (Percent)</w:t>
            </w:r>
          </w:p>
          <w:p>
            <w:pPr>
              <w:jc w:val="both"/>
            </w:pPr>
            <w:r>
              <w:rPr>
                <w:rFonts w:cstheme="minorHAnsi"/>
                <w:color w:val="0B0C0C"/>
                <w:shd w:val="clear" w:color="auto" w:fill="FFFFFF"/>
              </w:rPr>
              <w:t>Proportion of pupils in primary 4 and primary 6 that achieved minimum proficiency in Mathematics and English (Percent</w:t>
            </w:r>
            <w:r>
              <w:rPr>
                <w:rFonts w:ascii="Open Sans" w:hAnsi="Open Sans" w:cs="Open Sans"/>
                <w:color w:val="0B0C0C"/>
                <w:shd w:val="clear" w:color="auto" w:fill="FFFFFF"/>
              </w:rPr>
              <w:t>)</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pPr>
            <w:r>
              <w:rPr>
                <w:color w:val="333333"/>
              </w:rPr>
              <w:t>4.5.1.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pPr>
            <w:r>
              <w:rPr>
                <w:color w:val="333333"/>
              </w:rPr>
              <w:t>UNESCO Institute of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68130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686"/>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b/>
                <w:bCs/>
                <w:color w:val="4A4A4A"/>
              </w:rPr>
            </w:pPr>
            <w:r>
              <w:rPr>
                <w:b/>
                <w:bCs/>
                <w:color w:val="4A4A4A"/>
              </w:rPr>
              <w:t>Definition:</w:t>
            </w:r>
          </w:p>
          <w:p>
            <w:pPr>
              <w:jc w:val="both"/>
              <w:rPr>
                <w:color w:val="4A4A4A"/>
              </w:rPr>
            </w:pPr>
            <w:r>
              <w:rPr>
                <w:color w:val="4A4A4A"/>
              </w:rPr>
              <w:t>Percentage of children and young people achieving at least a minimum proficiency level in (i) reading and (ii) mathematics during primary education (Grade 2 or 3), at the end of primary education, and at the end of lower secondary education. The minimum proficiency level will be measured relative to new common reading and mathematics scales currently in development.</w:t>
            </w:r>
          </w:p>
          <w:p>
            <w:pPr>
              <w:shd w:val="clear" w:color="auto" w:fill="FFFFFF"/>
              <w:spacing w:after="0"/>
              <w:jc w:val="both"/>
              <w:rPr>
                <w:color w:val="4A4A4A"/>
              </w:rPr>
            </w:pPr>
            <w:r>
              <w:rPr>
                <w:b/>
                <w:color w:val="4A4A4A"/>
              </w:rPr>
              <w:t>Concepts:</w:t>
            </w:r>
          </w:p>
          <w:p>
            <w:pPr>
              <w:shd w:val="clear" w:color="auto" w:fill="FFFFFF"/>
              <w:spacing w:after="0"/>
              <w:jc w:val="both"/>
            </w:pPr>
            <w:r>
              <w:rPr>
                <w:i w:val="0"/>
                <w:iCs/>
                <w:color w:val="4A4A4A"/>
              </w:rPr>
              <w:t xml:space="preserve">Minimum proficiency level (MPL) </w:t>
            </w:r>
            <w:r>
              <w:rPr>
                <w:color w:val="4A4A4A"/>
              </w:rPr>
              <w:t xml:space="preserve">is the benchmark of basic knowledge in a domain (mathematics, reading, etc.) measured through learning assessments.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eastAsia="Arial" w:cstheme="minorHAnsi"/>
                <w:iCs/>
              </w:rPr>
              <w:t>Ghana National Education Assessment, 2016</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Education Service</w:t>
            </w:r>
            <w:r>
              <w:rPr>
                <w:rFonts w:hint="default"/>
                <w:lang w:val="en-CA"/>
              </w:rPr>
              <w:t xml:space="preserve"> (GES)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jc w:val="both"/>
            </w:pPr>
            <w:r>
              <w:rPr>
                <w:rFonts w:asciiTheme="minorHAnsi" w:hAnsiTheme="minorHAnsi" w:cstheme="minorHAnsi"/>
                <w:color w:val="000000"/>
                <w:sz w:val="22"/>
                <w:szCs w:val="22"/>
              </w:rPr>
              <w:t>The indicator aims to measure the percentage of children and young people who have achieved the minimum learning outcomes in reading and mathematics during or at the end of the relevant stages of education.The higher the figure, the higher the proportion of children and/or young people reaching at least minimum proficiency in the respective domain (reading or mathematic</w:t>
            </w:r>
            <w:r>
              <w:rPr>
                <w:rFonts w:hint="default" w:asciiTheme="minorHAnsi" w:hAnsiTheme="minorHAnsi" w:cstheme="minorHAnsi"/>
                <w:color w:val="000000"/>
                <w:sz w:val="22"/>
                <w:szCs w:val="22"/>
                <w:lang w:val="en-CA"/>
              </w:rPr>
              <w:t>s</w:t>
            </w:r>
            <w:r>
              <w:rPr>
                <w:rFonts w:asciiTheme="minorHAnsi" w:hAnsiTheme="minorHAnsi" w:cstheme="minorHAnsi"/>
                <w:color w:val="000000"/>
                <w:sz w:val="22"/>
                <w:szCs w:val="22"/>
              </w:rPr>
              <w:t>)</w:t>
            </w:r>
            <w:r>
              <w:rPr>
                <w:rFonts w:hint="default" w:asciiTheme="minorHAnsi" w:hAnsiTheme="minorHAnsi" w:cstheme="minorHAnsi"/>
                <w:color w:val="000000"/>
                <w:sz w:val="22"/>
                <w:szCs w:val="22"/>
                <w:lang w:val="en-CA"/>
              </w:rPr>
              <w:t>.</w:t>
            </w:r>
            <w:r>
              <w:rPr>
                <w:rFonts w:asciiTheme="minorHAnsi" w:hAnsiTheme="minorHAnsi" w:cstheme="minorHAnsi"/>
                <w:color w:val="000000"/>
                <w:sz w:val="22"/>
                <w:szCs w:val="22"/>
              </w:rPr>
              <w:t xml:space="preserv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bidi w:val="0"/>
            </w:pPr>
            <w:bookmarkStart w:id="38" w:name="_GoBack"/>
            <w:r>
              <w:t xml:space="preserve">The number of children and/or young people at the relevant stage of education (n) in year (t) achieving at least the pre-defined proficiency level in subjects expressed as a percentage of the number of children and or young people at stage of education </w:t>
            </w:r>
            <w:r>
              <w:rPr>
                <w:rFonts w:hint="default"/>
                <w:lang w:val="en-CA"/>
              </w:rPr>
              <w:t>(</w:t>
            </w:r>
            <w:r>
              <w:t>n</w:t>
            </w:r>
            <w:r>
              <w:rPr>
                <w:rFonts w:hint="default"/>
                <w:lang w:val="en-CA"/>
              </w:rPr>
              <w:t>)</w:t>
            </w:r>
            <w:r>
              <w:t xml:space="preserve">, in year </w:t>
            </w:r>
            <w:r>
              <w:rPr>
                <w:rFonts w:hint="default"/>
                <w:lang w:val="en-CA"/>
              </w:rPr>
              <w:t>(</w:t>
            </w:r>
            <w:r>
              <w:t>t</w:t>
            </w:r>
            <w:r>
              <w:rPr>
                <w:rFonts w:hint="default"/>
                <w:lang w:val="en-CA"/>
              </w:rPr>
              <w:t>)</w:t>
            </w:r>
            <w:r>
              <w:t>, in any proficiency level in subjects.</w:t>
            </w:r>
            <w:bookmarkEnd w:id="38"/>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2689"/>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been disaggregated by sex, urban and rural areas, educational level and skill</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Fonts w:eastAsia="SimSun" w:cs="SimSun"/>
              </w:rPr>
              <w:t>SDG Indicators — SDG Indicators (un.org)</w:t>
            </w:r>
            <w:r>
              <w:rPr>
                <w:rStyle w:val="18"/>
                <w:rFonts w:eastAsia="SimSun" w:cs="SimSun"/>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Open Sans">
    <w:altName w:val="Times New Roman"/>
    <w:panose1 w:val="00000000000000000000"/>
    <w:charset w:val="00"/>
    <w:family w:val="swiss"/>
    <w:pitch w:val="default"/>
    <w:sig w:usb0="00000000" w:usb1="00000000" w:usb2="00000028"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073C9"/>
    <w:rsid w:val="001127E6"/>
    <w:rsid w:val="0013388C"/>
    <w:rsid w:val="0014660A"/>
    <w:rsid w:val="0015178E"/>
    <w:rsid w:val="00151B76"/>
    <w:rsid w:val="00154283"/>
    <w:rsid w:val="0015690D"/>
    <w:rsid w:val="0015725E"/>
    <w:rsid w:val="00164B14"/>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CEA"/>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4116"/>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39E0"/>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7CEA"/>
    <w:rsid w:val="006C075C"/>
    <w:rsid w:val="006C6768"/>
    <w:rsid w:val="006C783E"/>
    <w:rsid w:val="006E1A7D"/>
    <w:rsid w:val="006F104C"/>
    <w:rsid w:val="006F2038"/>
    <w:rsid w:val="006F50E8"/>
    <w:rsid w:val="007024E6"/>
    <w:rsid w:val="007100BD"/>
    <w:rsid w:val="00714FBE"/>
    <w:rsid w:val="00736C17"/>
    <w:rsid w:val="00736C4F"/>
    <w:rsid w:val="00751373"/>
    <w:rsid w:val="00772DE4"/>
    <w:rsid w:val="0077584C"/>
    <w:rsid w:val="00776312"/>
    <w:rsid w:val="00791932"/>
    <w:rsid w:val="0079280C"/>
    <w:rsid w:val="007A078A"/>
    <w:rsid w:val="007A2617"/>
    <w:rsid w:val="007A28BA"/>
    <w:rsid w:val="007B2E39"/>
    <w:rsid w:val="007C2733"/>
    <w:rsid w:val="007C63C4"/>
    <w:rsid w:val="007E4EE0"/>
    <w:rsid w:val="007F2D9F"/>
    <w:rsid w:val="007F5448"/>
    <w:rsid w:val="007F6520"/>
    <w:rsid w:val="00806D18"/>
    <w:rsid w:val="00810C60"/>
    <w:rsid w:val="00810D4D"/>
    <w:rsid w:val="00846868"/>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7D4C"/>
    <w:rsid w:val="009D6291"/>
    <w:rsid w:val="009D6F69"/>
    <w:rsid w:val="009E049D"/>
    <w:rsid w:val="009E5D6E"/>
    <w:rsid w:val="009F05E2"/>
    <w:rsid w:val="009F305C"/>
    <w:rsid w:val="00A167C6"/>
    <w:rsid w:val="00A200D3"/>
    <w:rsid w:val="00A242D8"/>
    <w:rsid w:val="00A3532A"/>
    <w:rsid w:val="00A35656"/>
    <w:rsid w:val="00A36E8B"/>
    <w:rsid w:val="00A4314D"/>
    <w:rsid w:val="00A4640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24F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5BA1"/>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B5230B"/>
    <w:rsid w:val="51B36B51"/>
    <w:rsid w:val="5867725D"/>
    <w:rsid w:val="7C9C1A2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0"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0"/>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0CD7"/>
    <w:rsid w:val="001C2C82"/>
    <w:rsid w:val="00296525"/>
    <w:rsid w:val="0036646D"/>
    <w:rsid w:val="005D7720"/>
    <w:rsid w:val="006153AA"/>
    <w:rsid w:val="0064052E"/>
    <w:rsid w:val="00760A1F"/>
    <w:rsid w:val="00A36F88"/>
    <w:rsid w:val="00AD489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13</Pages>
  <Words>216101</Words>
  <Characters>1231782</Characters>
  <Lines>10264</Lines>
  <Paragraphs>2889</Paragraphs>
  <TotalTime>82</TotalTime>
  <ScaleCrop>false</ScaleCrop>
  <LinksUpToDate>false</LinksUpToDate>
  <CharactersWithSpaces>1444994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2021-10-18T12:35:00Z</dcterms:created>
  <dc:creator>Fanning, Stephen B (JMD)</dc:creator>
  <cp:lastModifiedBy>Doreen</cp:lastModifiedBy>
  <cp:lastPrinted>2020-04-16T14:23:00Z</cp:lastPrinted>
  <dcterms:modified xsi:type="dcterms:W3CDTF">2022-11-09T05:36:23Z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2B108FBED4324FBFBE7F369DA5AFFF20</vt:lpwstr>
  </property>
</Properties>
</file>