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r>
            <w:rPr>
              <w:rFonts w:asciiTheme="minorHAnsi" w:hAnsiTheme="minorHAnsi" w:eastAsiaTheme="minorHAnsi" w:cstheme="minorBidi"/>
              <w:sz w:val="22"/>
              <w:szCs w:val="22"/>
              <w:lang w:val="en-US" w:eastAsia="en-US" w:bidi="ar-SA"/>
            </w:rPr>
            <w:t>5.1.1 Legal frameworks that promote, enforce and monitor gender equality (percentage of achievement, 0 - 100) -- Area 1: overarching legal frameworks and public life. [5.1.1] (SG_LGL_GENEQLFP)</w:t>
          </w:r>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6812571"/>
            <w:bookmarkStart w:id="3" w:name="_Toc36813071"/>
            <w:bookmarkStart w:id="4" w:name="_Toc36812684"/>
            <w:bookmarkStart w:id="5" w:name="_Toc37932743"/>
            <w:bookmarkStart w:id="6" w:name="_Toc36655608"/>
            <w:r>
              <w:rPr>
                <w:sz w:val="32"/>
                <w:szCs w:val="32"/>
              </w:rPr>
              <w:t>0. Indicator information</w:t>
            </w:r>
            <w:bookmarkEnd w:id="2"/>
            <w:bookmarkEnd w:id="3"/>
            <w:bookmarkEnd w:id="4"/>
            <w:bookmarkEnd w:id="5"/>
            <w:bookmarkEnd w:id="6"/>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5: Achieve gender equality and empower all women and girls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5.1: End all forms of discrimination against all women and girls everywhere</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Indicator </w:t>
            </w:r>
            <w:r>
              <w:t>5.1.</w:t>
            </w:r>
            <w:r>
              <w:rPr>
                <w:rFonts w:hint="default"/>
                <w:lang w:val="en-CA"/>
              </w:rPr>
              <w:t>1:</w:t>
            </w:r>
            <w:r>
              <w:t xml:space="preserve"> </w:t>
            </w:r>
            <w:r>
              <w:rPr>
                <w:rFonts w:hint="default"/>
                <w:lang w:val="en-CA"/>
              </w:rPr>
              <w:t>Whether or not legal frameworks are in place to promote, enforce and monitor equality and non-discrimination on the basis of sex</w:t>
            </w:r>
            <w:bookmarkStart w:id="37" w:name="_GoBack"/>
            <w:bookmarkEnd w:id="37"/>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7932744"/>
            <w:bookmarkStart w:id="8" w:name="_Toc36655609"/>
            <w:bookmarkStart w:id="9" w:name="_Toc36812572"/>
            <w:bookmarkStart w:id="10" w:name="_Toc36813072"/>
            <w:bookmarkStart w:id="11" w:name="_Toc36812685"/>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7932745"/>
            <w:bookmarkStart w:id="13" w:name="_Toc36655610"/>
            <w:bookmarkStart w:id="14" w:name="_Toc36813073"/>
            <w:bookmarkStart w:id="15" w:name="_Toc36812686"/>
            <w:bookmarkStart w:id="16" w:name="_Toc36812573"/>
            <w:r>
              <w:rPr>
                <w:sz w:val="32"/>
                <w:szCs w:val="32"/>
              </w:rPr>
              <w:t>2. Definition, concepts, and classifications</w:t>
            </w:r>
            <w:bookmarkEnd w:id="12"/>
            <w:bookmarkEnd w:id="13"/>
            <w:bookmarkEnd w:id="14"/>
            <w:bookmarkEnd w:id="15"/>
            <w:bookmarkEnd w:id="16"/>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6813074"/>
            <w:bookmarkStart w:id="18" w:name="_Toc37932746"/>
            <w:r>
              <w:rPr>
                <w:sz w:val="32"/>
                <w:szCs w:val="32"/>
              </w:rPr>
              <w:t>3. Data source type and data collection method</w:t>
            </w:r>
            <w:bookmarkEnd w:id="17"/>
            <w:bookmarkEnd w:id="18"/>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6813075"/>
            <w:bookmarkStart w:id="20" w:name="_Toc36655612"/>
            <w:bookmarkStart w:id="21" w:name="_Toc36812575"/>
            <w:bookmarkStart w:id="22" w:name="_Toc36812688"/>
            <w:bookmarkStart w:id="23" w:name="_Toc37932747"/>
            <w:r>
              <w:rPr>
                <w:sz w:val="32"/>
                <w:szCs w:val="32"/>
              </w:rPr>
              <w:t>4. Other methodological considerations</w:t>
            </w:r>
            <w:bookmarkEnd w:id="19"/>
            <w:bookmarkEnd w:id="20"/>
            <w:bookmarkEnd w:id="21"/>
            <w:bookmarkEnd w:id="22"/>
            <w:bookmarkEnd w:id="23"/>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7932748"/>
            <w:bookmarkStart w:id="25" w:name="_Toc36812576"/>
            <w:bookmarkStart w:id="26" w:name="_Toc36813076"/>
            <w:bookmarkStart w:id="27" w:name="_Toc36655613"/>
            <w:bookmarkStart w:id="28" w:name="_Toc36812689"/>
            <w:r>
              <w:rPr>
                <w:sz w:val="32"/>
                <w:szCs w:val="32"/>
              </w:rPr>
              <w:t>5. Data availability and disaggregation</w:t>
            </w:r>
            <w:bookmarkEnd w:id="24"/>
            <w:bookmarkEnd w:id="25"/>
            <w:bookmarkEnd w:id="26"/>
            <w:bookmarkEnd w:id="27"/>
            <w:bookmarkEnd w:id="28"/>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29" w:name="_Toc37932751"/>
      <w:bookmarkStart w:id="30" w:name="Tips_and_Tricks"/>
      <w:bookmarkStart w:id="31" w:name="_Toc36655616"/>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2"/>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4" w:name="_Toc37932753"/>
      <w:bookmarkStart w:id="35" w:name="Mapping"/>
      <w:r>
        <w:rPr>
          <w:sz w:val="28"/>
          <w:szCs w:val="28"/>
        </w:rPr>
        <w:t>B. Mapping of SDMX Detailed Concepts to IAEG-SDG File Format</w:t>
      </w:r>
      <w:bookmarkEnd w:id="34"/>
    </w:p>
    <w:bookmarkEnd w:id="35"/>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6" w:name="_Toc37932754"/>
      <w:r>
        <w:rPr>
          <w:sz w:val="28"/>
          <w:szCs w:val="28"/>
        </w:rPr>
        <w:t>C. Mapping of IAEG-SDG File Format to SDMX Detailed Concepts</w:t>
      </w:r>
      <w:bookmarkEnd w:id="36"/>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5015AF5"/>
    <w:rsid w:val="089716ED"/>
    <w:rsid w:val="17985ABB"/>
    <w:rsid w:val="20A75D5B"/>
    <w:rsid w:val="34824CA8"/>
    <w:rsid w:val="39BD1573"/>
    <w:rsid w:val="3FB54248"/>
    <w:rsid w:val="43E03DEF"/>
    <w:rsid w:val="617B58CA"/>
    <w:rsid w:val="779C1699"/>
    <w:rsid w:val="77E83BB0"/>
    <w:rsid w:val="7CDF3CE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5</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2022-11-09T09:33:11Z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A79E5B0E956F41A1986266BA2B22CB33</vt:lpwstr>
  </property>
</Properties>
</file>