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5.3.1 Proportion of women aged 20-24 years who were married or in a union before age 15 [5.3.1] (SP_DYN_MRBF15)</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rFonts w:hint="default" w:ascii="Calibri" w:hAnsi="Calibri" w:eastAsia="SimSun" w:cs="Calibri"/>
                <w:sz w:val="22"/>
                <w:szCs w:val="22"/>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pPr>
            <w:r>
              <w:t>Target 5.3: Eliminate all harmful practices, such as child, early and forced marriage and female genital mutilation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5.3.1: Proportion of women aged 20-24 years who were married or in a union before age 15 and age 18</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women aged 20-24 years who were married or in a union before age 15 [5.3.1]</w:t>
            </w:r>
          </w:p>
          <w:p>
            <w:pPr>
              <w:jc w:val="both"/>
              <w:rPr>
                <w:rFonts w:hint="default"/>
                <w:lang w:val="en-CA"/>
              </w:rPr>
            </w:pPr>
            <w:r>
              <w:rPr>
                <w:rFonts w:hint="default"/>
                <w:lang w:val="en-CA"/>
              </w:rPr>
              <w:t>Proportion of women aged 20-24 years who were married or in union before age 18 [5.3.1]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573"/>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rPr>
                <w:rFonts w:eastAsia="Times New Roman" w:cs="Times New Roman"/>
                <w:b/>
                <w:bCs/>
                <w:color w:val="4A4A4A"/>
                <w:lang w:eastAsia="en-GB"/>
              </w:rPr>
            </w:pPr>
            <w:r>
              <w:rPr>
                <w:rFonts w:eastAsia="Times New Roman" w:cs="Times New Roman"/>
                <w:b/>
                <w:bCs/>
                <w:color w:val="4A4A4A"/>
                <w:lang w:eastAsia="en-GB"/>
              </w:rPr>
              <w:t>Concepts:</w:t>
            </w:r>
          </w:p>
          <w:p>
            <w:pPr>
              <w:shd w:val="clear" w:color="auto" w:fill="FFFFFF"/>
              <w:contextualSpacing/>
            </w:pPr>
            <w:r>
              <w:rPr>
                <w:rFonts w:eastAsia="Times New Roman" w:cs="Times New Roman"/>
                <w:color w:val="4A4A4A"/>
                <w:lang w:eastAsia="en-GB"/>
              </w:rPr>
              <w:t>Both formal (i.e., marriages) and informal unions are covered under this indicator. Informal unions are generally defined as those in which a couple lives together for some time, intends to have a lasting relationship, but for which there has been no formal civil or religious ceremony (i.e., cohabitation).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eastAsia="Calibri" w:cstheme="minorHAnsi"/>
                <w:bCs/>
                <w:shd w:val="clear" w:color="auto" w:fill="FFFFFF"/>
              </w:rPr>
            </w:pPr>
            <w:r>
              <w:rPr>
                <w:rFonts w:eastAsia="Calibri" w:cstheme="minorHAnsi"/>
                <w:bCs/>
                <w:shd w:val="clear" w:color="auto" w:fill="FFFFFF"/>
              </w:rPr>
              <w:t>Ghana M</w:t>
            </w:r>
            <w:r>
              <w:rPr>
                <w:rFonts w:eastAsia="Calibri" w:cstheme="minorHAnsi"/>
                <w:bCs/>
                <w:shd w:val="clear" w:color="auto" w:fill="FFFFFF"/>
                <w:lang w:val="en-CA"/>
              </w:rPr>
              <w:t xml:space="preserve">ultiple </w:t>
            </w:r>
            <w:r>
              <w:rPr>
                <w:rFonts w:eastAsia="Calibri" w:cstheme="minorHAnsi"/>
                <w:bCs/>
                <w:shd w:val="clear" w:color="auto" w:fill="FFFFFF"/>
              </w:rPr>
              <w:t>I</w:t>
            </w:r>
            <w:r>
              <w:rPr>
                <w:rFonts w:eastAsia="Calibri" w:cstheme="minorHAnsi"/>
                <w:bCs/>
                <w:shd w:val="clear" w:color="auto" w:fill="FFFFFF"/>
                <w:lang w:val="en-CA"/>
              </w:rPr>
              <w:t xml:space="preserve">ndicator </w:t>
            </w:r>
            <w:r>
              <w:rPr>
                <w:rFonts w:eastAsia="Calibri" w:cstheme="minorHAnsi"/>
                <w:bCs/>
                <w:shd w:val="clear" w:color="auto" w:fill="FFFFFF"/>
              </w:rPr>
              <w:t>C</w:t>
            </w:r>
            <w:r>
              <w:rPr>
                <w:rFonts w:eastAsia="Calibri" w:cstheme="minorHAnsi"/>
                <w:bCs/>
                <w:shd w:val="clear" w:color="auto" w:fill="FFFFFF"/>
                <w:lang w:val="en-CA"/>
              </w:rPr>
              <w:t xml:space="preserve">luster </w:t>
            </w:r>
            <w:r>
              <w:rPr>
                <w:rFonts w:eastAsia="Calibri" w:cstheme="minorHAnsi"/>
                <w:bCs/>
                <w:shd w:val="clear" w:color="auto" w:fill="FFFFFF"/>
              </w:rPr>
              <w:t>S</w:t>
            </w:r>
            <w:r>
              <w:rPr>
                <w:rFonts w:eastAsia="Calibri" w:cstheme="minorHAnsi"/>
                <w:bCs/>
                <w:shd w:val="clear" w:color="auto" w:fill="FFFFFF"/>
                <w:lang w:val="en-CA"/>
              </w:rPr>
              <w:t>urvey</w:t>
            </w:r>
            <w:r>
              <w:rPr>
                <w:rFonts w:eastAsia="Calibri" w:cstheme="minorHAnsi"/>
                <w:bCs/>
                <w:shd w:val="clear" w:color="auto" w:fill="FFFFFF"/>
              </w:rPr>
              <w:t xml:space="preserve"> </w:t>
            </w:r>
            <w:r>
              <w:rPr>
                <w:rFonts w:eastAsia="Calibri" w:cstheme="minorHAnsi"/>
                <w:bCs/>
                <w:shd w:val="clear" w:color="auto" w:fill="FFFFFF"/>
                <w:lang w:val="en-CA"/>
              </w:rPr>
              <w:t>(MICS)</w:t>
            </w:r>
            <w:r>
              <w:rPr>
                <w:rFonts w:hint="default" w:eastAsia="Calibri" w:cstheme="minorHAnsi"/>
                <w:bCs/>
                <w:shd w:val="clear" w:color="auto" w:fill="FFFFFF"/>
                <w:lang w:val="en-CA"/>
              </w:rPr>
              <w:t xml:space="preserve">, </w:t>
            </w:r>
            <w:r>
              <w:rPr>
                <w:rFonts w:eastAsia="Calibri" w:cstheme="minorHAnsi"/>
                <w:bCs/>
                <w:shd w:val="clear" w:color="auto" w:fill="FFFFFF"/>
              </w:rPr>
              <w:t xml:space="preserve">2011 and 2018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655612"/>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Marriage before the age of 18 is a fundamental violation of human rights. Child marriage often compromises a girl’s development by resulting in early pregnancy and social isolation, interrupting her schooling, limiting her opportunities for career and vocational advancement and placing her at increased risk of intimate partner violence. The practice of early/child marriage is a direct manifestation of gender inequality.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Number of women aged 20-24 who were first married or in union before age 15 (or before age 18) divided by the total number of women aged 20-24 in the population multiplied by 100.</w:t>
            </w:r>
            <w:bookmarkStart w:id="38" w:name="_GoBack"/>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3076"/>
            <w:bookmarkStart w:id="27" w:name="_Toc36812689"/>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934"/>
    <w:rsid w:val="00022D87"/>
    <w:rsid w:val="00042B85"/>
    <w:rsid w:val="000434EA"/>
    <w:rsid w:val="000639BB"/>
    <w:rsid w:val="000716CF"/>
    <w:rsid w:val="00073907"/>
    <w:rsid w:val="00091352"/>
    <w:rsid w:val="0009691A"/>
    <w:rsid w:val="00097108"/>
    <w:rsid w:val="00097E67"/>
    <w:rsid w:val="000A24C4"/>
    <w:rsid w:val="000B1F92"/>
    <w:rsid w:val="000B6681"/>
    <w:rsid w:val="000C6D3A"/>
    <w:rsid w:val="000E4EFE"/>
    <w:rsid w:val="000F3B8E"/>
    <w:rsid w:val="001034ED"/>
    <w:rsid w:val="001048E5"/>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F83"/>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68C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77900"/>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3536"/>
    <w:rsid w:val="00DC4AE7"/>
    <w:rsid w:val="00DC72B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5BD5"/>
    <w:rsid w:val="00EA6E73"/>
    <w:rsid w:val="00EB3760"/>
    <w:rsid w:val="00EC064B"/>
    <w:rsid w:val="00EC6024"/>
    <w:rsid w:val="00EE4BB5"/>
    <w:rsid w:val="00EE79CF"/>
    <w:rsid w:val="00EF453F"/>
    <w:rsid w:val="00F00FDD"/>
    <w:rsid w:val="00F01713"/>
    <w:rsid w:val="00F02B1E"/>
    <w:rsid w:val="00F07040"/>
    <w:rsid w:val="00F2310E"/>
    <w:rsid w:val="00F3278B"/>
    <w:rsid w:val="00F54570"/>
    <w:rsid w:val="00F75853"/>
    <w:rsid w:val="00F7784D"/>
    <w:rsid w:val="00F8144F"/>
    <w:rsid w:val="00F8462A"/>
    <w:rsid w:val="00F862A7"/>
    <w:rsid w:val="00F93763"/>
    <w:rsid w:val="00F939A2"/>
    <w:rsid w:val="00F96E8D"/>
    <w:rsid w:val="00FA20D9"/>
    <w:rsid w:val="00FB03D0"/>
    <w:rsid w:val="00FD54D7"/>
    <w:rsid w:val="00FF642D"/>
    <w:rsid w:val="22251A25"/>
    <w:rsid w:val="42BC05EB"/>
    <w:rsid w:val="58E72DAF"/>
    <w:rsid w:val="59562FFD"/>
    <w:rsid w:val="79116A6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D4DD6"/>
    <w:rsid w:val="0036646D"/>
    <w:rsid w:val="003C1823"/>
    <w:rsid w:val="00400880"/>
    <w:rsid w:val="00452F3E"/>
    <w:rsid w:val="006153AA"/>
    <w:rsid w:val="0064052E"/>
    <w:rsid w:val="0073716C"/>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215685</Words>
  <Characters>1229411</Characters>
  <Lines>10245</Lines>
  <Paragraphs>2884</Paragraphs>
  <TotalTime>3</TotalTime>
  <ScaleCrop>false</ScaleCrop>
  <LinksUpToDate>false</LinksUpToDate>
  <CharactersWithSpaces>1442212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2021-10-18T13:01:00Z</dcterms:created>
  <dc:creator>Fanning, Stephen B (JMD)</dc:creator>
  <cp:lastModifiedBy>Doreen</cp:lastModifiedBy>
  <cp:lastPrinted>2020-04-16T14:23:00Z</cp:lastPrinted>
  <dcterms:modified xsi:type="dcterms:W3CDTF">2022-11-09T10:31:52Z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1370125A17694346A3B84EF131BE8CB4</vt:lpwstr>
  </property>
</Properties>
</file>