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8.10.2 Proportion of adults (15 years and older) with an account at a financial institution or mobile-money-service provider [8.10.2] (FB_BNK_ACCSS)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8.10: Strengthen the capacity of domestic financial institutions to encourage and expand access to banking, insurance and financial services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cstheme="minorHAnsi"/>
              </w:rPr>
            </w:pPr>
            <w:r>
              <w:rPr>
                <w:rFonts w:hint="default"/>
              </w:rPr>
              <w:t>Indicator 8.10.2: Proportion of adults (15 years and older) with an account at a bank or other financial institution or with a mobile-money-service provider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Number of active mobile money accounts</w:t>
            </w:r>
          </w:p>
          <w:p>
            <w:pPr>
              <w:rPr>
                <w:rFonts w:hint="default"/>
                <w:lang w:val="en-CA"/>
              </w:rPr>
            </w:pPr>
            <w:r>
              <w:rPr>
                <w:rFonts w:hint="default"/>
                <w:lang w:val="en-CA"/>
              </w:rPr>
              <w:t>Number of registered mobile money accounts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7932744"/>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rPr>
            </w:pPr>
            <w:r>
              <w:rPr>
                <w:rStyle w:val="20"/>
                <w:rFonts w:cs="Times New Roman"/>
                <w:color w:val="4A4A4A"/>
              </w:rPr>
              <w:t>Definition:</w:t>
            </w:r>
          </w:p>
          <w:p>
            <w:pPr>
              <w:pStyle w:val="57"/>
              <w:shd w:val="clear" w:color="auto" w:fill="FFFFFF"/>
              <w:spacing w:before="0" w:beforeAutospacing="0" w:after="0" w:afterAutospacing="0"/>
              <w:jc w:val="both"/>
              <w:rPr>
                <w:rFonts w:asciiTheme="minorHAnsi" w:hAnsiTheme="minorHAnsi"/>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hint="default" w:asciiTheme="minorHAnsi" w:hAnsiTheme="minorHAnsi"/>
                <w:color w:val="4A4A4A"/>
                <w:sz w:val="22"/>
                <w:szCs w:val="22"/>
                <w:lang w:val="en-CA"/>
              </w:rPr>
              <w:t xml:space="preserve">This indicator reports on the </w:t>
            </w:r>
            <w:r>
              <w:rPr>
                <w:rFonts w:asciiTheme="minorHAnsi" w:hAnsiTheme="minorHAnsi"/>
                <w:color w:val="4A4A4A"/>
                <w:sz w:val="22"/>
                <w:szCs w:val="22"/>
              </w:rPr>
              <w:t xml:space="preserve">percentage of adults (ages 15+) who report having an account (by themselves or together with someone else) at a bank or another type of financial institution or personally using a mobile money service in the past 12 months. </w:t>
            </w:r>
          </w:p>
          <w:p>
            <w:pPr>
              <w:shd w:val="clear" w:color="auto" w:fill="FFFFFF"/>
              <w:spacing w:after="0"/>
              <w:jc w:val="both"/>
              <w:rPr>
                <w:rStyle w:val="20"/>
                <w:rFonts w:cs="Times New Roman"/>
                <w:color w:val="4A4A4A"/>
              </w:rPr>
            </w:pPr>
          </w:p>
          <w:p>
            <w:pPr>
              <w:shd w:val="clear" w:color="auto" w:fill="FFFFFF"/>
              <w:spacing w:after="0"/>
              <w:jc w:val="both"/>
              <w:rPr>
                <w:rFonts w:cs="Times New Roman"/>
                <w:color w:val="4A4A4A"/>
              </w:rPr>
            </w:pPr>
            <w:r>
              <w:rPr>
                <w:rStyle w:val="20"/>
                <w:rFonts w:cs="Times New Roman"/>
                <w:color w:val="4A4A4A"/>
              </w:rPr>
              <w:t>Concepts:</w:t>
            </w:r>
          </w:p>
          <w:p>
            <w:pPr>
              <w:shd w:val="clear" w:color="auto" w:fill="FFFFFF"/>
              <w:spacing w:after="0"/>
              <w:jc w:val="both"/>
              <w:rPr>
                <w:rFonts w:cs="Times New Roman"/>
                <w:color w:val="4A4A4A"/>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Account at a financial institution includes respondents who report having an account at a bank or at another type of financial institution, such as a credit union, microfinance institution, cooperative, or the post office (if applicable), or having a debit card in their own name. In addition, it includes respondents who report receiving wages, government transfers, or payments for agricultural products into an account at a financial institution in the past 12 months; paying utility bills or school fees from an account at a financial institution in the past 12 months; or receiving wages or government transfers into a card in the past 12 months. </w:t>
            </w:r>
          </w:p>
          <w:p>
            <w:pPr>
              <w:pStyle w:val="57"/>
              <w:shd w:val="clear" w:color="auto" w:fill="FFFFFF"/>
              <w:spacing w:before="0" w:beforeAutospacing="0" w:after="0" w:afterAutospacing="0"/>
              <w:jc w:val="both"/>
              <w:rPr>
                <w:sz w:val="22"/>
                <w:szCs w:val="22"/>
              </w:rPr>
            </w:pPr>
            <w:r>
              <w:rPr>
                <w:rFonts w:asciiTheme="minorHAnsi" w:hAnsiTheme="minorHAnsi"/>
                <w:color w:val="4A4A4A"/>
                <w:sz w:val="22"/>
                <w:szCs w:val="22"/>
              </w:rPr>
              <w:t xml:space="preserve">Mobile money account includes respondents who report personally using </w:t>
            </w:r>
            <w:r>
              <w:rPr>
                <w:rFonts w:asciiTheme="minorHAnsi" w:hAnsiTheme="minorHAnsi"/>
                <w:color w:val="4A4A4A"/>
                <w:sz w:val="22"/>
                <w:szCs w:val="22"/>
              </w:rPr>
              <w:fldChar w:fldCharType="begin"/>
            </w:r>
            <w:r>
              <w:rPr>
                <w:rFonts w:asciiTheme="minorHAnsi" w:hAnsiTheme="minorHAnsi"/>
                <w:color w:val="4A4A4A"/>
                <w:sz w:val="22"/>
                <w:szCs w:val="22"/>
              </w:rPr>
              <w:instrText xml:space="preserve"> HYPERLINK "https://www.gsma.com/mobilefordevelopment/wp-content/uploads/2013/07/MMU_Mobile-Money-101.pdf" </w:instrText>
            </w:r>
            <w:r>
              <w:rPr>
                <w:rFonts w:asciiTheme="minorHAnsi" w:hAnsiTheme="minorHAnsi"/>
                <w:color w:val="4A4A4A"/>
                <w:sz w:val="22"/>
                <w:szCs w:val="22"/>
              </w:rPr>
              <w:fldChar w:fldCharType="separate"/>
            </w:r>
            <w:r>
              <w:rPr>
                <w:rStyle w:val="19"/>
                <w:rFonts w:asciiTheme="minorHAnsi" w:hAnsiTheme="minorHAnsi"/>
                <w:color w:val="4A4A4A"/>
                <w:sz w:val="22"/>
                <w:szCs w:val="22"/>
              </w:rPr>
              <w:t>GSM Association (GSMA) Mobile Money for the Unbanked (MMU)</w:t>
            </w:r>
            <w:r>
              <w:rPr>
                <w:rFonts w:asciiTheme="minorHAnsi" w:hAnsiTheme="minorHAnsi"/>
                <w:color w:val="4A4A4A"/>
                <w:sz w:val="22"/>
                <w:szCs w:val="22"/>
              </w:rPr>
              <w:fldChar w:fldCharType="end"/>
            </w:r>
            <w:r>
              <w:rPr>
                <w:rFonts w:asciiTheme="minorHAnsi" w:hAnsiTheme="minorHAnsi"/>
                <w:color w:val="4A4A4A"/>
                <w:sz w:val="22"/>
                <w:szCs w:val="22"/>
              </w:rPr>
              <w:t xml:space="preserve"> services in the past 12 months to pay bills or to send or receive money. In addition, it includes respondents who report receiving wages, government transfers, or payments for agricultural products through a mobile phone in the past 12 months.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Million mobile money accounts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Calibri" w:cstheme="minorHAnsi"/>
                <w:bCs/>
                <w:iCs/>
              </w:rPr>
            </w:pPr>
            <w:r>
              <w:rPr>
                <w:rFonts w:eastAsia="Calibri" w:cstheme="minorHAnsi"/>
                <w:bCs/>
                <w:iCs/>
              </w:rPr>
              <w:t>B</w:t>
            </w:r>
            <w:r>
              <w:rPr>
                <w:rFonts w:hint="default" w:eastAsia="Calibri" w:cstheme="minorHAnsi"/>
                <w:bCs/>
                <w:iCs/>
                <w:lang w:val="en-CA"/>
              </w:rPr>
              <w:t xml:space="preserve">ank </w:t>
            </w:r>
            <w:r>
              <w:rPr>
                <w:rFonts w:eastAsia="Calibri" w:cstheme="minorHAnsi"/>
                <w:bCs/>
                <w:iCs/>
              </w:rPr>
              <w:t>o</w:t>
            </w:r>
            <w:r>
              <w:rPr>
                <w:rFonts w:hint="default" w:eastAsia="Calibri" w:cstheme="minorHAnsi"/>
                <w:bCs/>
                <w:iCs/>
                <w:lang w:val="en-CA"/>
              </w:rPr>
              <w:t xml:space="preserve">f </w:t>
            </w:r>
            <w:r>
              <w:rPr>
                <w:rFonts w:eastAsia="Calibri" w:cstheme="minorHAnsi"/>
                <w:bCs/>
                <w:iCs/>
              </w:rPr>
              <w:t>G</w:t>
            </w:r>
            <w:r>
              <w:rPr>
                <w:rFonts w:hint="default" w:eastAsia="Calibri" w:cstheme="minorHAnsi"/>
                <w:bCs/>
                <w:iCs/>
                <w:lang w:val="en-CA"/>
              </w:rPr>
              <w:t>hana (BoG)</w:t>
            </w:r>
            <w:r>
              <w:rPr>
                <w:rFonts w:eastAsia="Calibri" w:cstheme="minorHAnsi"/>
                <w:bCs/>
                <w:iCs/>
              </w:rPr>
              <w:t xml:space="preserve"> Payment Systems Oversight Annual Report, 2018</w:t>
            </w:r>
          </w:p>
          <w:p>
            <w:pPr>
              <w:rPr>
                <w:rFonts w:hint="default" w:cstheme="minorHAnsi"/>
                <w:iCs/>
                <w:lang w:val="en-CA"/>
              </w:rPr>
            </w:pPr>
            <w:r>
              <w:rPr>
                <w:rFonts w:eastAsia="Calibri" w:cstheme="minorHAnsi"/>
                <w:bCs/>
                <w:iCs/>
              </w:rPr>
              <w:t>B</w:t>
            </w:r>
            <w:r>
              <w:rPr>
                <w:rFonts w:hint="default" w:eastAsia="Calibri" w:cstheme="minorHAnsi"/>
                <w:bCs/>
                <w:iCs/>
                <w:lang w:val="en-CA"/>
              </w:rPr>
              <w:t xml:space="preserve">ank </w:t>
            </w:r>
            <w:r>
              <w:rPr>
                <w:rFonts w:eastAsia="Calibri" w:cstheme="minorHAnsi"/>
                <w:bCs/>
                <w:iCs/>
              </w:rPr>
              <w:t>o</w:t>
            </w:r>
            <w:r>
              <w:rPr>
                <w:rFonts w:hint="default" w:eastAsia="Calibri" w:cstheme="minorHAnsi"/>
                <w:bCs/>
                <w:iCs/>
                <w:lang w:val="en-CA"/>
              </w:rPr>
              <w:t xml:space="preserve">f </w:t>
            </w:r>
            <w:r>
              <w:rPr>
                <w:rFonts w:eastAsia="Calibri" w:cstheme="minorHAnsi"/>
                <w:bCs/>
                <w:iCs/>
              </w:rPr>
              <w:t>G</w:t>
            </w:r>
            <w:r>
              <w:rPr>
                <w:rFonts w:hint="default" w:eastAsia="Calibri" w:cstheme="minorHAnsi"/>
                <w:bCs/>
                <w:iCs/>
                <w:lang w:val="en-CA"/>
              </w:rPr>
              <w:t xml:space="preserve">hana (BoG) </w:t>
            </w:r>
            <w:r>
              <w:rPr>
                <w:rFonts w:eastAsia="Calibri" w:cstheme="minorHAnsi"/>
                <w:bCs/>
                <w:iCs/>
              </w:rPr>
              <w:t>Economic and Financial Data, 202</w:t>
            </w:r>
            <w:r>
              <w:rPr>
                <w:rFonts w:hint="default" w:eastAsia="Calibri" w:cstheme="minorHAnsi"/>
                <w:bCs/>
                <w:iCs/>
                <w:lang w:val="en-CA"/>
              </w:rPr>
              <w:t>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Bank of Ghana</w:t>
            </w:r>
            <w:r>
              <w:rPr>
                <w:rFonts w:hint="default"/>
                <w:lang w:val="en-CA"/>
              </w:rPr>
              <w:t xml:space="preserve"> (BoG)</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formal financial services such as savings, insurance, payments, credit and remittances is essential to the ability of people—regardless of income level, gender, age, education or where they live— to manage their lives, build their futures, and grow their businesses. Having access to an account is an important starting point for people to access a</w:t>
            </w:r>
            <w:r>
              <w:rPr>
                <w:rFonts w:hint="default"/>
                <w:lang w:val="en-CA"/>
              </w:rPr>
              <w:t xml:space="preserve"> </w:t>
            </w:r>
            <w:r>
              <w:t>range of financial services.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w:t>
            </w:r>
            <w:bookmarkStart w:id="38" w:name="_GoBack"/>
            <w:bookmarkEnd w:id="38"/>
            <w:r>
              <w:rPr>
                <w:rFonts w:hint="default"/>
                <w:lang w:val="en-CA"/>
              </w:rPr>
              <w:t>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"https://unstats.un.org/sdgs/metadata/files/Metadata-08-10-02.pdf" </w:instrText>
            </w:r>
            <w:r>
              <w:rPr>
                <w:rFonts w:hint="default"/>
              </w:rPr>
              <w:fldChar w:fldCharType="separate"/>
            </w:r>
            <w:r>
              <w:rPr>
                <w:rStyle w:val="19"/>
                <w:rFonts w:hint="default"/>
              </w:rPr>
              <w:t>https://unstats.un.org/sdgs/metadata/files/Metadata-08-10-02.pdf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45C7"/>
    <w:rsid w:val="001D1B17"/>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3137"/>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7254"/>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383"/>
    <w:rsid w:val="00FF642D"/>
    <w:rsid w:val="10674991"/>
    <w:rsid w:val="1EFB1D11"/>
    <w:rsid w:val="411F7AB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944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215720</Words>
  <Characters>1229604</Characters>
  <Lines>10246</Lines>
  <Paragraphs>2884</Paragraphs>
  <TotalTime>29</TotalTime>
  <ScaleCrop>false</ScaleCrop>
  <LinksUpToDate>false</LinksUpToDate>
  <CharactersWithSpaces>1442440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2021-10-18T14:51:00Z</dcterms:created>
  <dc:creator>Fanning, Stephen B (JMD)</dc:creator>
  <cp:lastModifiedBy>Doreen</cp:lastModifiedBy>
  <cp:lastPrinted>2020-04-16T14:23:00Z</cp:lastPrinted>
  <dcterms:modified xsi:type="dcterms:W3CDTF">2022-11-11T07:08:27Z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3476528A04744569A66E2967D5EA6E91</vt:lpwstr>
  </property>
</Properties>
</file>