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8.5.1 Average hourly earnings [8.5.1] (SL_EMP_EARN)</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8.5: By 2030, achieve full and productive employment and decent work for all women and men, including for young people and persons with disabilities, and equal pay for work of equal value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8.5.1: Average hourly earnings of </w:t>
            </w:r>
            <w:r>
              <w:rPr>
                <w:rFonts w:hint="default"/>
                <w:lang w:val="en-CA"/>
              </w:rPr>
              <w:t xml:space="preserve"> </w:t>
            </w:r>
            <w:r>
              <w:t>employees, by</w:t>
            </w:r>
            <w:r>
              <w:rPr>
                <w:rFonts w:hint="default"/>
                <w:lang w:val="en-CA"/>
              </w:rPr>
              <w:t xml:space="preserve"> sex, age,</w:t>
            </w:r>
            <w:r>
              <w:t xml:space="preserve"> occupation</w:t>
            </w:r>
            <w:r>
              <w:rPr>
                <w:rFonts w:hint="default"/>
                <w:lang w:val="en-CA"/>
              </w:rPr>
              <w:t xml:space="preserve"> </w:t>
            </w:r>
            <w:r>
              <w:t>and persons with disabilities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Average hourly earnings [8.5.1]</w:t>
            </w:r>
          </w:p>
          <w:p>
            <w:pPr>
              <w:rPr>
                <w:rFonts w:hint="default"/>
                <w:lang w:val="en-CA"/>
              </w:rPr>
            </w:pPr>
            <w:r>
              <w:rPr>
                <w:rFonts w:hint="default"/>
                <w:lang w:val="en-CA"/>
              </w:rPr>
              <w:t>Average monthly earnings [8.5.1]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1"/>
              <w:jc w:val="left"/>
              <w:rPr>
                <w:rStyle w:val="54"/>
                <w:rFonts w:ascii="Calibri" w:hAnsi="Calibri" w:cs="Calibri"/>
                <w:color w:val="4A4A4A"/>
              </w:rPr>
            </w:pPr>
            <w:r>
              <w:rPr>
                <w:rStyle w:val="54"/>
                <w:rFonts w:ascii="Calibri" w:hAnsi="Calibri" w:cs="Calibri"/>
                <w:color w:val="4A4A4A"/>
              </w:rPr>
              <w:t>1.1.1</w:t>
            </w:r>
          </w:p>
          <w:p>
            <w:pPr>
              <w:pStyle w:val="31"/>
              <w:jc w:val="left"/>
              <w:rPr>
                <w:rStyle w:val="54"/>
                <w:rFonts w:ascii="Calibri" w:hAnsi="Calibri" w:cs="Calibri"/>
                <w:color w:val="4A4A4A"/>
              </w:rPr>
            </w:pPr>
            <w:r>
              <w:rPr>
                <w:rStyle w:val="54"/>
                <w:rFonts w:ascii="Calibri" w:hAnsi="Calibri" w:cs="Calibri"/>
                <w:color w:val="4A4A4A"/>
              </w:rPr>
              <w:t>5.5.2</w:t>
            </w:r>
          </w:p>
          <w:p>
            <w:pPr>
              <w:pStyle w:val="31"/>
              <w:jc w:val="left"/>
              <w:rPr>
                <w:rStyle w:val="54"/>
                <w:rFonts w:ascii="Calibri" w:hAnsi="Calibri" w:cs="Calibri"/>
                <w:color w:val="4A4A4A"/>
              </w:rPr>
            </w:pPr>
            <w:r>
              <w:rPr>
                <w:rStyle w:val="54"/>
                <w:rFonts w:ascii="Calibri" w:hAnsi="Calibri" w:cs="Calibri"/>
                <w:color w:val="4A4A4A"/>
              </w:rPr>
              <w:t>8.2.1</w:t>
            </w:r>
          </w:p>
          <w:p>
            <w:pPr>
              <w:pStyle w:val="31"/>
              <w:jc w:val="left"/>
            </w:pPr>
            <w:r>
              <w:rPr>
                <w:rStyle w:val="54"/>
                <w:rFonts w:ascii="Calibri" w:hAnsi="Calibri" w:cs="Calibri"/>
                <w:color w:val="4A4A4A"/>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sz w:val="22"/>
                <w:szCs w:val="22"/>
              </w:rPr>
            </w:pPr>
            <w:r>
              <w:rPr>
                <w:rStyle w:val="54"/>
                <w:rFonts w:ascii="Calibri" w:hAnsi="Calibri" w:cs="Calibri"/>
                <w:sz w:val="22"/>
                <w:szCs w:val="22"/>
              </w:rPr>
              <w:t>I</w:t>
            </w:r>
            <w:r>
              <w:rPr>
                <w:rStyle w:val="54"/>
                <w:rFonts w:ascii="Calibri" w:hAnsi="Calibri" w:cs="Calibri"/>
                <w:sz w:val="22"/>
                <w:szCs w:val="22"/>
                <w:lang w:val="en-CA"/>
              </w:rPr>
              <w:t xml:space="preserve">nternational </w:t>
            </w:r>
            <w:r>
              <w:rPr>
                <w:rStyle w:val="54"/>
                <w:rFonts w:ascii="Calibri" w:hAnsi="Calibri" w:cs="Calibri"/>
                <w:sz w:val="22"/>
                <w:szCs w:val="22"/>
              </w:rPr>
              <w:t>L</w:t>
            </w:r>
            <w:r>
              <w:rPr>
                <w:rStyle w:val="54"/>
                <w:rFonts w:ascii="Calibri" w:hAnsi="Calibri" w:cs="Calibri"/>
                <w:sz w:val="22"/>
                <w:szCs w:val="22"/>
                <w:lang w:val="en-CA"/>
              </w:rPr>
              <w:t xml:space="preserve">abour </w:t>
            </w:r>
            <w:r>
              <w:rPr>
                <w:rStyle w:val="54"/>
                <w:rFonts w:ascii="Calibri" w:hAnsi="Calibri" w:cs="Calibri"/>
                <w:sz w:val="22"/>
                <w:szCs w:val="22"/>
              </w:rPr>
              <w:t>O</w:t>
            </w:r>
            <w:r>
              <w:rPr>
                <w:rStyle w:val="54"/>
                <w:rFonts w:ascii="Calibri" w:hAnsi="Calibri" w:cs="Calibri"/>
                <w:sz w:val="22"/>
                <w:szCs w:val="22"/>
                <w:lang w:val="en-CA"/>
              </w:rPr>
              <w:t>rganization (ILO)</w:t>
            </w:r>
            <w:r>
              <w:rPr>
                <w:rStyle w:val="55"/>
                <w:rFonts w:ascii="Calibri" w:hAnsi="Calibri" w:cs="Calibri"/>
                <w:sz w:val="22"/>
                <w:szCs w:val="22"/>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8125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2573"/>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rPr>
                <w:b/>
                <w:bCs/>
                <w:lang w:val="en-GB"/>
              </w:rPr>
              <w:t>Definition:</w:t>
            </w:r>
            <w:r>
              <w:t> </w:t>
            </w:r>
          </w:p>
          <w:p>
            <w:pPr>
              <w:bidi w:val="0"/>
            </w:pPr>
            <w:r>
              <w:rPr>
                <w:lang w:val="en-GB"/>
              </w:rPr>
              <w:t>This indicator provides information on the mean hourly earnings from paid employment of employees by sex, occupation, age and disability status. </w:t>
            </w:r>
            <w:r>
              <w:t> </w:t>
            </w:r>
          </w:p>
          <w:p>
            <w:pPr>
              <w:bidi w:val="0"/>
              <w:rPr>
                <w:b/>
                <w:bCs/>
              </w:rPr>
            </w:pPr>
            <w:r>
              <w:t> </w:t>
            </w:r>
            <w:r>
              <w:rPr>
                <w:b/>
                <w:bCs/>
                <w:lang w:val="en-GB"/>
              </w:rPr>
              <w:t>Concepts:</w:t>
            </w:r>
            <w:r>
              <w:rPr>
                <w:b/>
                <w:bCs/>
              </w:rPr>
              <w:t> </w:t>
            </w:r>
          </w:p>
          <w:p>
            <w:pPr>
              <w:bidi w:val="0"/>
              <w:rPr>
                <w:szCs w:val="22"/>
              </w:rPr>
            </w:pPr>
            <w:r>
              <w:rPr>
                <w:lang w:val="en-GB"/>
              </w:rPr>
              <w:t>Earnings refer to the gross remuneration in cash or in kind paid to employees, as a rule at regular intervals, for time worked or work done together with remuneration for time not worked, such as annual vacation, other type of paid leave or holidays. Earnings exclude employers’ contributions in respect of their employees paid to social security and pension schemes and also the benefits received by employees under these schemes. Earnings also exclude severance and termination pay. </w:t>
            </w:r>
            <w: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Calibri" w:cstheme="minorHAnsi"/>
                <w:lang w:val="en-CA"/>
              </w:rPr>
            </w:pPr>
            <w:r>
              <w:rPr>
                <w:rFonts w:eastAsia="Calibri" w:cstheme="minorHAnsi"/>
              </w:rPr>
              <w:t>G</w:t>
            </w:r>
            <w:r>
              <w:rPr>
                <w:rFonts w:hint="default" w:eastAsia="Calibri" w:cstheme="minorHAnsi"/>
                <w:lang w:val="en-CA"/>
              </w:rPr>
              <w:t xml:space="preserve">hana </w:t>
            </w:r>
            <w:r>
              <w:rPr>
                <w:rFonts w:eastAsia="Calibri" w:cstheme="minorHAnsi"/>
              </w:rPr>
              <w:t>L</w:t>
            </w:r>
            <w:r>
              <w:rPr>
                <w:rFonts w:hint="default" w:eastAsia="Calibri" w:cstheme="minorHAnsi"/>
                <w:lang w:val="en-CA"/>
              </w:rPr>
              <w:t xml:space="preserve">iving </w:t>
            </w:r>
            <w:r>
              <w:rPr>
                <w:rFonts w:eastAsia="Calibri" w:cstheme="minorHAnsi"/>
              </w:rPr>
              <w:t>S</w:t>
            </w:r>
            <w:r>
              <w:rPr>
                <w:rFonts w:hint="default" w:eastAsia="Calibri" w:cstheme="minorHAnsi"/>
                <w:lang w:val="en-CA"/>
              </w:rPr>
              <w:t xml:space="preserve">tandards </w:t>
            </w:r>
            <w:r>
              <w:rPr>
                <w:rFonts w:eastAsia="Calibri" w:cstheme="minorHAnsi"/>
              </w:rPr>
              <w:t>S</w:t>
            </w:r>
            <w:r>
              <w:rPr>
                <w:rFonts w:hint="default" w:eastAsia="Calibri" w:cstheme="minorHAnsi"/>
                <w:lang w:val="en-CA"/>
              </w:rPr>
              <w:t xml:space="preserve">urvey (GLSS) </w:t>
            </w:r>
            <w:r>
              <w:rPr>
                <w:rFonts w:eastAsia="Calibri" w:cstheme="minorHAnsi"/>
              </w:rPr>
              <w:t>Round 6</w:t>
            </w:r>
            <w:r>
              <w:rPr>
                <w:rFonts w:hint="default" w:eastAsia="Calibri" w:cstheme="minorHAnsi"/>
                <w:lang w:val="en-CA"/>
              </w:rPr>
              <w:t>, 2014</w:t>
            </w:r>
          </w:p>
          <w:p>
            <w:pPr>
              <w:rPr>
                <w:rFonts w:cstheme="minorHAnsi"/>
              </w:rPr>
            </w:pPr>
            <w:r>
              <w:rPr>
                <w:rFonts w:eastAsia="Calibri" w:cstheme="minorHAnsi"/>
              </w:rPr>
              <w:t>G</w:t>
            </w:r>
            <w:r>
              <w:rPr>
                <w:rFonts w:hint="default" w:eastAsia="Calibri" w:cstheme="minorHAnsi"/>
                <w:lang w:val="en-CA"/>
              </w:rPr>
              <w:t xml:space="preserve">hana </w:t>
            </w:r>
            <w:r>
              <w:rPr>
                <w:rFonts w:eastAsia="Calibri" w:cstheme="minorHAnsi"/>
              </w:rPr>
              <w:t>L</w:t>
            </w:r>
            <w:r>
              <w:rPr>
                <w:rFonts w:hint="default" w:eastAsia="Calibri" w:cstheme="minorHAnsi"/>
                <w:lang w:val="en-CA"/>
              </w:rPr>
              <w:t xml:space="preserve">iving </w:t>
            </w:r>
            <w:r>
              <w:rPr>
                <w:rFonts w:eastAsia="Calibri" w:cstheme="minorHAnsi"/>
              </w:rPr>
              <w:t>S</w:t>
            </w:r>
            <w:r>
              <w:rPr>
                <w:rFonts w:hint="default" w:eastAsia="Calibri" w:cstheme="minorHAnsi"/>
                <w:lang w:val="en-CA"/>
              </w:rPr>
              <w:t xml:space="preserve">tandards </w:t>
            </w:r>
            <w:r>
              <w:rPr>
                <w:rFonts w:eastAsia="Calibri" w:cstheme="minorHAnsi"/>
              </w:rPr>
              <w:t>S</w:t>
            </w:r>
            <w:r>
              <w:rPr>
                <w:rFonts w:hint="default" w:eastAsia="Calibri" w:cstheme="minorHAnsi"/>
                <w:lang w:val="en-CA"/>
              </w:rPr>
              <w:t xml:space="preserve">urvey (GLSS) </w:t>
            </w:r>
            <w:r>
              <w:rPr>
                <w:rFonts w:eastAsia="Calibri" w:cstheme="minorHAnsi"/>
              </w:rPr>
              <w:t>Round 7</w:t>
            </w:r>
            <w:r>
              <w:rPr>
                <w:rFonts w:hint="default" w:eastAsia="Calibri" w:cstheme="minorHAnsi"/>
                <w:lang w:val="en-CA"/>
              </w:rPr>
              <w:t xml:space="preserve">, </w:t>
            </w:r>
            <w:r>
              <w:rPr>
                <w:rFonts w:eastAsia="Calibri" w:cstheme="minorHAnsi"/>
              </w:rPr>
              <w:t>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Survey (GSS)</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6812575"/>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rPr>
                <w:lang w:val="en-GB"/>
              </w:rPr>
              <w:t>Earnings are a key aspect of quality of employment and living conditions. Information on hourly earnings disaggregated by various classifications (sex, age, occupation, disability status) provides some indication of the extent to which pay equality is respected or achieved. </w:t>
            </w:r>
            <w:r>
              <w:t>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689"/>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"https://www.ilo.org/moscow/dw4sd/themes/equality/WCMS_560713/lang--en/index.htm" </w:instrText>
            </w:r>
            <w:r>
              <w:rPr>
                <w:rFonts w:hint="default"/>
              </w:rPr>
              <w:fldChar w:fldCharType="separate"/>
            </w:r>
            <w:r>
              <w:rPr>
                <w:rStyle w:val="18"/>
                <w:rFonts w:hint="default"/>
              </w:rPr>
              <w:t>https://www.ilo.org/moscow/dw4sd/themes/equality/WCMS_560713/lang--en/index.htm</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7777"/>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F71"/>
    <w:rsid w:val="00791932"/>
    <w:rsid w:val="007A078A"/>
    <w:rsid w:val="007A2617"/>
    <w:rsid w:val="007A28BA"/>
    <w:rsid w:val="007B2E39"/>
    <w:rsid w:val="007C2733"/>
    <w:rsid w:val="007C63C4"/>
    <w:rsid w:val="007E4EE0"/>
    <w:rsid w:val="007F2D9F"/>
    <w:rsid w:val="007F5448"/>
    <w:rsid w:val="007F6520"/>
    <w:rsid w:val="00806D18"/>
    <w:rsid w:val="00810C60"/>
    <w:rsid w:val="00812BAD"/>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4C34"/>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08A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D336A2A"/>
    <w:rsid w:val="4CEB1C00"/>
    <w:rsid w:val="507A131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23AB1"/>
    <w:rsid w:val="00DA061B"/>
    <w:rsid w:val="00DB1B31"/>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215661</Words>
  <Characters>1229269</Characters>
  <Lines>10243</Lines>
  <Paragraphs>2884</Paragraphs>
  <TotalTime>30</TotalTime>
  <ScaleCrop>false</ScaleCrop>
  <LinksUpToDate>false</LinksUpToDate>
  <CharactersWithSpaces>1442046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2021-10-18T14:15:00Z</dcterms:created>
  <dc:creator>Fanning, Stephen B (JMD)</dc:creator>
  <cp:lastModifiedBy>Doreen</cp:lastModifiedBy>
  <cp:lastPrinted>2020-04-16T14:23:00Z</cp:lastPrinted>
  <dcterms:modified xsi:type="dcterms:W3CDTF">2022-11-10T17:33:27Z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5274F913014744A89082D01F63A25ABB</vt:lpwstr>
  </property>
</Properties>
</file>