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8.5.2 Unemployment rate [8.5.2] (SL_TLF_UEM)</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3071"/>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 xml:space="preserve">Target 8.5: By 2030, achieve full and productive employment and decent work for all women and men, including for young people and persons with disabilities, and equal pay for work of equal value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8.5.2: Unemployment rate, by sex, age and persons with disabilities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Unemployment rate [8.5.2]</w:t>
            </w:r>
          </w:p>
          <w:p>
            <w:pPr>
              <w:rPr>
                <w:rFonts w:hint="default"/>
                <w:lang w:val="en-CA"/>
              </w:rPr>
            </w:pPr>
            <w:r>
              <w:rPr>
                <w:rFonts w:hint="default"/>
                <w:lang w:val="en-CA"/>
              </w:rPr>
              <w:t>Unemployment rate, by disability [8.5.2]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1"/>
              <w:rPr>
                <w:color w:val="333333"/>
                <w:sz w:val="21"/>
                <w:szCs w:val="21"/>
              </w:rPr>
            </w:pPr>
            <w:r>
              <w:rPr>
                <w:color w:val="333333"/>
                <w:sz w:val="21"/>
                <w:szCs w:val="21"/>
              </w:rPr>
              <w:t xml:space="preserve">1.1.1 </w:t>
            </w:r>
          </w:p>
          <w:p>
            <w:pPr>
              <w:pStyle w:val="31"/>
              <w:rPr>
                <w:color w:val="333333"/>
                <w:sz w:val="21"/>
                <w:szCs w:val="21"/>
              </w:rPr>
            </w:pPr>
            <w:r>
              <w:rPr>
                <w:color w:val="333333"/>
                <w:sz w:val="21"/>
                <w:szCs w:val="21"/>
              </w:rPr>
              <w:t xml:space="preserve">8.2.1 </w:t>
            </w:r>
          </w:p>
          <w:p>
            <w:pPr>
              <w:pStyle w:val="31"/>
              <w:rPr>
                <w:color w:val="333333"/>
                <w:sz w:val="21"/>
                <w:szCs w:val="21"/>
              </w:rPr>
            </w:pPr>
            <w:r>
              <w:rPr>
                <w:color w:val="333333"/>
                <w:sz w:val="21"/>
                <w:szCs w:val="21"/>
              </w:rPr>
              <w:t xml:space="preserve">8.6.1 </w:t>
            </w:r>
          </w:p>
          <w:p>
            <w:pPr>
              <w:pStyle w:val="31"/>
            </w:pPr>
            <w:r>
              <w:rPr>
                <w:color w:val="333333"/>
                <w:sz w:val="21"/>
                <w:szCs w:val="21"/>
              </w:rPr>
              <w:t>10.4.1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Style w:val="54"/>
                <w:rFonts w:ascii="Calibri" w:hAnsi="Calibri" w:cs="Calibri"/>
                <w:color w:val="4A4A4A"/>
                <w:shd w:val="clear" w:color="auto" w:fill="FFFFFF"/>
              </w:rPr>
              <w:t>I</w:t>
            </w:r>
            <w:r>
              <w:rPr>
                <w:rStyle w:val="54"/>
                <w:rFonts w:ascii="Calibri" w:hAnsi="Calibri" w:cs="Calibri"/>
                <w:color w:val="4A4A4A"/>
                <w:shd w:val="clear" w:color="auto" w:fill="FFFFFF"/>
                <w:lang w:val="en-CA"/>
              </w:rPr>
              <w:t xml:space="preserve">nternational </w:t>
            </w:r>
            <w:r>
              <w:rPr>
                <w:rStyle w:val="54"/>
                <w:rFonts w:ascii="Calibri" w:hAnsi="Calibri" w:cs="Calibri"/>
                <w:color w:val="4A4A4A"/>
                <w:shd w:val="clear" w:color="auto" w:fill="FFFFFF"/>
              </w:rPr>
              <w:t>L</w:t>
            </w:r>
            <w:r>
              <w:rPr>
                <w:rStyle w:val="54"/>
                <w:rFonts w:ascii="Calibri" w:hAnsi="Calibri" w:cs="Calibri"/>
                <w:color w:val="4A4A4A"/>
                <w:shd w:val="clear" w:color="auto" w:fill="FFFFFF"/>
                <w:lang w:val="en-CA"/>
              </w:rPr>
              <w:t xml:space="preserve">abour </w:t>
            </w:r>
            <w:r>
              <w:rPr>
                <w:rStyle w:val="54"/>
                <w:rFonts w:ascii="Calibri" w:hAnsi="Calibri" w:cs="Calibri"/>
                <w:color w:val="4A4A4A"/>
                <w:shd w:val="clear" w:color="auto" w:fill="FFFFFF"/>
              </w:rPr>
              <w:t>O</w:t>
            </w:r>
            <w:r>
              <w:rPr>
                <w:rStyle w:val="54"/>
                <w:rFonts w:ascii="Calibri" w:hAnsi="Calibri" w:cs="Calibri"/>
                <w:color w:val="4A4A4A"/>
                <w:shd w:val="clear" w:color="auto" w:fill="FFFFFF"/>
                <w:lang w:val="en-CA"/>
              </w:rPr>
              <w:t>rganization (ILO)</w:t>
            </w:r>
            <w:r>
              <w:rPr>
                <w:rStyle w:val="55"/>
                <w:rFonts w:ascii="Calibri" w:hAnsi="Calibri" w:cs="Calibri"/>
                <w:color w:val="4A4A4A"/>
              </w:rPr>
              <w:t>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7932744"/>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812686"/>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b/>
                <w:bCs/>
                <w:color w:val="4A4A4A"/>
                <w:sz w:val="22"/>
                <w:szCs w:val="22"/>
                <w:lang w:val="en-GB"/>
              </w:rPr>
              <w:t>Definition:</w:t>
            </w:r>
            <w:r>
              <w:rPr>
                <w:rStyle w:val="55"/>
                <w:rFonts w:asciiTheme="minorHAnsi" w:hAnsiTheme="minorHAnsi" w:cstheme="minorHAnsi"/>
                <w:color w:val="4A4A4A"/>
                <w:sz w:val="22"/>
                <w:szCs w:val="22"/>
              </w:rPr>
              <w:t> </w:t>
            </w:r>
          </w:p>
          <w:p>
            <w:pPr>
              <w:jc w:val="both"/>
              <w:rPr>
                <w:rFonts w:hint="default" w:cstheme="minorHAnsi"/>
                <w:lang w:val="en-CA"/>
              </w:rPr>
            </w:pPr>
            <w:r>
              <w:rPr>
                <w:rFonts w:cstheme="minorHAnsi"/>
              </w:rPr>
              <w:t>Persons in unemployment are defined as all those of working age who were not in employment, carried out activities to seek employment during a specified recent period and were currently available to take up employment given a job opportunity</w:t>
            </w:r>
            <w:r>
              <w:rPr>
                <w:rFonts w:hint="default" w:cstheme="minorHAnsi"/>
                <w:lang w:val="en-CA"/>
              </w:rPr>
              <w:t>.</w:t>
            </w:r>
          </w:p>
          <w:p>
            <w:pPr>
              <w:jc w:val="both"/>
              <w:rPr>
                <w:rFonts w:asciiTheme="minorHAnsi" w:hAnsiTheme="minorHAnsi" w:cstheme="minorHAnsi"/>
                <w:sz w:val="22"/>
                <w:szCs w:val="22"/>
              </w:rPr>
            </w:pPr>
            <w:r>
              <w:rPr>
                <w:rStyle w:val="54"/>
                <w:rFonts w:asciiTheme="minorHAnsi" w:hAnsiTheme="minorHAnsi" w:cstheme="minorHAnsi"/>
                <w:color w:val="4A4A4A"/>
                <w:sz w:val="22"/>
                <w:szCs w:val="22"/>
                <w:lang w:val="en-GB"/>
              </w:rPr>
              <w:t>The unemployment rate conveys the percentage of persons in the labour force who are unemployed.</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b/>
                <w:bCs/>
                <w:color w:val="4A4A4A"/>
                <w:sz w:val="22"/>
                <w:szCs w:val="22"/>
                <w:lang w:val="en-GB"/>
              </w:rPr>
              <w:t>Concepts:</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color w:val="4A4A4A"/>
                <w:sz w:val="22"/>
                <w:szCs w:val="22"/>
                <w:lang w:val="en-GB"/>
              </w:rPr>
              <w:t>Unemployed persons are defined as all those of working age (usually aged 15 and above) who were not in employment, carried out activities to seek employment during a specified recent period and were currently available to take up employment given a job opportunity</w:t>
            </w:r>
            <w:r>
              <w:rPr>
                <w:rStyle w:val="54"/>
                <w:rFonts w:hint="default" w:asciiTheme="minorHAnsi" w:hAnsiTheme="minorHAnsi" w:cstheme="minorHAnsi"/>
                <w:color w:val="4A4A4A"/>
                <w:sz w:val="22"/>
                <w:szCs w:val="22"/>
                <w:lang w:val="en-CA"/>
              </w:rPr>
              <w:t>.</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color w:val="4A4A4A"/>
                <w:sz w:val="22"/>
                <w:szCs w:val="22"/>
                <w:lang w:val="en-GB"/>
              </w:rPr>
              <w:t>Persons in employment are defined as all those of working age (usually aged 15 and above) who, during a short reference period such as one week or one day, were engaged in any activity to produce goods or provide services for pay or profit.</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5"/>
                <w:rFonts w:asciiTheme="minorHAnsi" w:hAnsiTheme="minorHAnsi" w:cstheme="minorHAnsi"/>
                <w:color w:val="4A4A4A"/>
                <w:sz w:val="22"/>
                <w:szCs w:val="22"/>
              </w:rPr>
              <w:t> </w:t>
            </w:r>
            <w:r>
              <w:rPr>
                <w:rStyle w:val="54"/>
                <w:rFonts w:asciiTheme="minorHAnsi" w:hAnsiTheme="minorHAnsi" w:cstheme="minorHAnsi"/>
                <w:color w:val="4A4A4A"/>
                <w:sz w:val="22"/>
                <w:szCs w:val="22"/>
                <w:lang w:val="en-GB"/>
              </w:rPr>
              <w:t>The labour force corresponds to the sum of persons in employment and in unemployment. </w:t>
            </w:r>
            <w:r>
              <w:rPr>
                <w:rStyle w:val="55"/>
                <w:rFonts w:asciiTheme="minorHAnsi" w:hAnsiTheme="minorHAnsi" w:cstheme="minorHAnsi"/>
                <w:color w:val="4A4A4A"/>
                <w:sz w:val="22"/>
                <w:szCs w:val="22"/>
              </w:rPr>
              <w:t>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rPr>
                <w:rFonts w:hint="default" w:eastAsia="Calibri" w:cstheme="minorHAnsi"/>
                <w:lang w:val="en-CA"/>
              </w:rPr>
            </w:pPr>
            <w:r>
              <w:rPr>
                <w:rFonts w:eastAsia="Calibri" w:cstheme="minorHAnsi"/>
              </w:rPr>
              <w:t>G</w:t>
            </w:r>
            <w:r>
              <w:rPr>
                <w:rFonts w:eastAsia="Calibri" w:cstheme="minorHAnsi"/>
                <w:lang w:val="en-CA"/>
              </w:rPr>
              <w:t xml:space="preserve">hana </w:t>
            </w:r>
            <w:r>
              <w:rPr>
                <w:rFonts w:eastAsia="Calibri" w:cstheme="minorHAnsi"/>
              </w:rPr>
              <w:t>L</w:t>
            </w:r>
            <w:r>
              <w:rPr>
                <w:rFonts w:eastAsia="Calibri" w:cstheme="minorHAnsi"/>
                <w:lang w:val="en-CA"/>
              </w:rPr>
              <w:t xml:space="preserve">iving </w:t>
            </w:r>
            <w:r>
              <w:rPr>
                <w:rFonts w:eastAsia="Calibri" w:cstheme="minorHAnsi"/>
              </w:rPr>
              <w:t>S</w:t>
            </w:r>
            <w:r>
              <w:rPr>
                <w:rFonts w:eastAsia="Calibri" w:cstheme="minorHAnsi"/>
                <w:lang w:val="en-CA"/>
              </w:rPr>
              <w:t xml:space="preserve">tandards </w:t>
            </w:r>
            <w:r>
              <w:rPr>
                <w:rFonts w:eastAsia="Calibri" w:cstheme="minorHAnsi"/>
              </w:rPr>
              <w:t>S</w:t>
            </w:r>
            <w:r>
              <w:rPr>
                <w:rFonts w:eastAsia="Calibri" w:cstheme="minorHAnsi"/>
                <w:lang w:val="en-CA"/>
              </w:rPr>
              <w:t>urvey (GLSS)</w:t>
            </w:r>
            <w:r>
              <w:rPr>
                <w:rFonts w:eastAsia="Calibri" w:cstheme="minorHAnsi"/>
              </w:rPr>
              <w:t xml:space="preserve"> Round 6</w:t>
            </w:r>
            <w:r>
              <w:rPr>
                <w:rFonts w:hint="default" w:eastAsia="Calibri" w:cstheme="minorHAnsi"/>
                <w:lang w:val="en-CA"/>
              </w:rPr>
              <w:t>, 2014</w:t>
            </w:r>
          </w:p>
          <w:p>
            <w:pPr>
              <w:spacing w:after="0" w:line="240" w:lineRule="auto"/>
              <w:jc w:val="both"/>
              <w:rPr>
                <w:rFonts w:hint="default" w:eastAsia="Calibri" w:cstheme="minorHAnsi"/>
                <w:lang w:val="en-CA"/>
              </w:rPr>
            </w:pPr>
          </w:p>
          <w:p>
            <w:pPr>
              <w:spacing w:after="0" w:line="240" w:lineRule="auto"/>
              <w:jc w:val="both"/>
            </w:pPr>
            <w:r>
              <w:rPr>
                <w:rFonts w:eastAsia="Calibri" w:cstheme="minorHAnsi"/>
              </w:rPr>
              <w:t>G</w:t>
            </w:r>
            <w:r>
              <w:rPr>
                <w:rFonts w:eastAsia="Calibri" w:cstheme="minorHAnsi"/>
                <w:lang w:val="en-CA"/>
              </w:rPr>
              <w:t xml:space="preserve">hana </w:t>
            </w:r>
            <w:r>
              <w:rPr>
                <w:rFonts w:eastAsia="Calibri" w:cstheme="minorHAnsi"/>
              </w:rPr>
              <w:t>L</w:t>
            </w:r>
            <w:r>
              <w:rPr>
                <w:rFonts w:eastAsia="Calibri" w:cstheme="minorHAnsi"/>
                <w:lang w:val="en-CA"/>
              </w:rPr>
              <w:t xml:space="preserve">iving </w:t>
            </w:r>
            <w:r>
              <w:rPr>
                <w:rFonts w:eastAsia="Calibri" w:cstheme="minorHAnsi"/>
              </w:rPr>
              <w:t>S</w:t>
            </w:r>
            <w:r>
              <w:rPr>
                <w:rFonts w:eastAsia="Calibri" w:cstheme="minorHAnsi"/>
                <w:lang w:val="en-CA"/>
              </w:rPr>
              <w:t xml:space="preserve">tandards </w:t>
            </w:r>
            <w:r>
              <w:rPr>
                <w:rFonts w:eastAsia="Calibri" w:cstheme="minorHAnsi"/>
              </w:rPr>
              <w:t>S</w:t>
            </w:r>
            <w:r>
              <w:rPr>
                <w:rFonts w:eastAsia="Calibri" w:cstheme="minorHAnsi"/>
                <w:lang w:val="en-CA"/>
              </w:rPr>
              <w:t>urvey (GLSS)</w:t>
            </w:r>
            <w:r>
              <w:rPr>
                <w:rFonts w:eastAsia="Calibri" w:cstheme="minorHAnsi"/>
              </w:rPr>
              <w:t xml:space="preserve"> Round 7</w:t>
            </w:r>
            <w:r>
              <w:rPr>
                <w:rFonts w:hint="default" w:eastAsia="Calibri" w:cstheme="minorHAnsi"/>
                <w:lang w:val="en-CA"/>
              </w:rPr>
              <w:t>,</w:t>
            </w:r>
            <w:r>
              <w:rPr>
                <w:rFonts w:eastAsia="Calibri" w:cstheme="minorHAnsi"/>
              </w:rPr>
              <w:t xml:space="preserve">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812688"/>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The unemployment rate is a useful measure of the </w:t>
            </w:r>
            <w:r>
              <w:rPr>
                <w:lang w:val="en-CA"/>
              </w:rPr>
              <w:t>under utilization</w:t>
            </w:r>
            <w:r>
              <w:t xml:space="preserve"> of the labour supply. It reflects the inability of an economy to generate employment for those persons who want to work but are not doing so, even though they are available for employment and actively seeking work. It is thus seen as an indicator of the efficiency and effectiveness of an economy to absorb its labour force and of the performance of the labour market. Short-term time series of the unemployment rate can be used to signal changes in the business cycle; upward movements in the indicator often coincide with recessionary periods or in some cases with the beginning of an expansionary period as persons previously not in the labour market begin to test conditions through an active job search.</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hint="default"/>
                <w:lang w:val="en-CA"/>
              </w:rPr>
            </w:pPr>
            <w:r>
              <w:t>The Unemployment Rate is calculated as the total registered unemployed divided by the total labour force expressed as a percentage</w:t>
            </w:r>
            <w:r>
              <w:rPr>
                <w:rFonts w:hint="default"/>
                <w:lang w:val="en-CA"/>
              </w:rPr>
              <w:t>.</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7932748"/>
            <w:bookmarkStart w:id="28" w:name="_Toc36812689"/>
            <w:bookmarkStart w:id="29" w:name="_Toc368125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w:t>
            </w:r>
            <w:bookmarkStart w:id="38" w:name="_GoBack"/>
            <w:bookmarkEnd w:id="38"/>
            <w:r>
              <w:rPr>
                <w:rFonts w:hint="default"/>
                <w:lang w:val="en-CA"/>
              </w:rPr>
              <w:t>a is disaggregated by age, sex,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"https://www.ilo.org/wcmsp5/groups/public/---dgreports/---stat/documents/normativeinstrument/wcms_230304.pdf" </w:instrText>
            </w:r>
            <w:r>
              <w:rPr>
                <w:rFonts w:hint="default"/>
              </w:rPr>
              <w:fldChar w:fldCharType="separate"/>
            </w:r>
            <w:r>
              <w:rPr>
                <w:rStyle w:val="18"/>
                <w:rFonts w:hint="default"/>
              </w:rPr>
              <w:t>https://www.ilo.org/wcmsp5/groups/public/---dgreports/---stat/documents/normativeinstrument/wcms_230304.pdf</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2872"/>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400F"/>
    <w:rsid w:val="006C075C"/>
    <w:rsid w:val="006C6768"/>
    <w:rsid w:val="006C783E"/>
    <w:rsid w:val="006E1A7D"/>
    <w:rsid w:val="006F104C"/>
    <w:rsid w:val="006F2038"/>
    <w:rsid w:val="006F50E8"/>
    <w:rsid w:val="007100BD"/>
    <w:rsid w:val="00736C17"/>
    <w:rsid w:val="00736C4F"/>
    <w:rsid w:val="00751373"/>
    <w:rsid w:val="007657A4"/>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4EB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D2B69EC"/>
    <w:rsid w:val="43900EE2"/>
    <w:rsid w:val="7621649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normaltextrun"/>
    <w:basedOn w:val="4"/>
    <w:qFormat/>
    <w:uiPriority w:val="0"/>
  </w:style>
  <w:style w:type="character" w:customStyle="1" w:styleId="55">
    <w:name w:val="eop"/>
    <w:basedOn w:val="4"/>
    <w:qFormat/>
    <w:uiPriority w:val="0"/>
  </w:style>
  <w:style w:type="paragraph" w:customStyle="1" w:styleId="56">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1A90"/>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215984</Words>
  <Characters>1231113</Characters>
  <Lines>10259</Lines>
  <Paragraphs>2888</Paragraphs>
  <TotalTime>30</TotalTime>
  <ScaleCrop>false</ScaleCrop>
  <LinksUpToDate>false</LinksUpToDate>
  <CharactersWithSpaces>1444209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2021-10-18T14:22:00Z</dcterms:created>
  <dc:creator>Fanning, Stephen B (JMD)</dc:creator>
  <cp:lastModifiedBy>Doreen</cp:lastModifiedBy>
  <cp:lastPrinted>2020-04-16T14:23:00Z</cp:lastPrinted>
  <dcterms:modified xsi:type="dcterms:W3CDTF">2022-11-10T20:22:08Z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5FF22B39F3D6467DA4F8BCE261092B8C</vt:lpwstr>
  </property>
</Properties>
</file>