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00C0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00C0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00C0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00C0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00C0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00C0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00C0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00C0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00C0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00C0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00C0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00C0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00C0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29E499F" w:rsidR="00355460" w:rsidRPr="00E263EC" w:rsidRDefault="005F083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C8FF5C1" w:rsidR="00B66AF3" w:rsidRDefault="005F0836" w:rsidP="00B66AF3">
          <w:r>
            <w:t>1.5.1, 11.5.1, 13.1.1 Number of deaths and missing persons attributed to disasters per 100,000 population [1.5.1, 11.5.1, 13.1.1] (VC_DSR_MTMP)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B5A46D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9AA312A" w:rsidR="0077584C" w:rsidRDefault="005F083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0232ADD" w:rsidR="00F7784D" w:rsidRDefault="005F083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6D51A6F"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4229A5B" w:rsidR="005377B9" w:rsidRPr="005F0836" w:rsidRDefault="005F0836" w:rsidP="009F305C">
            <w:pPr>
              <w:rPr>
                <w:rFonts w:cstheme="minorHAnsi"/>
              </w:rPr>
            </w:pPr>
            <w:r w:rsidRPr="005F0836">
              <w:rPr>
                <w:rFonts w:cstheme="minorHAnsi"/>
                <w:b/>
                <w:bCs/>
              </w:rPr>
              <w:t xml:space="preserve">Goal 1: </w:t>
            </w:r>
            <w:r w:rsidRPr="005F0836">
              <w:rPr>
                <w:rFonts w:cstheme="minorHAnsi"/>
              </w:rPr>
              <w:t>End poverty in all its forms everywhere</w:t>
            </w:r>
            <w:r w:rsidR="00E46F48">
              <w:rPr>
                <w:rFonts w:cstheme="minorHAnsi"/>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3A3BFD7"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Target 1.5: </w:t>
            </w:r>
            <w:r w:rsidRPr="005F0836">
              <w:rPr>
                <w:rFonts w:cstheme="minorHAnsi"/>
              </w:rPr>
              <w:t>By 2030, build the resilience of the poor and those in vulnerable situations and reduce</w:t>
            </w:r>
          </w:p>
          <w:p w14:paraId="2C037851"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their exposure and vulnerability to climate-related extreme events and other economic, social and</w:t>
            </w:r>
          </w:p>
          <w:p w14:paraId="5C7BE35B" w14:textId="1C2B93C5" w:rsidR="005377B9" w:rsidRPr="009F305C" w:rsidRDefault="005F0836" w:rsidP="005F0836">
            <w:r w:rsidRPr="005F0836">
              <w:rPr>
                <w:rFonts w:cstheme="minorHAnsi"/>
              </w:rPr>
              <w:t>environmental shocks and disasters.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04DB91E"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Indicator (Local) 1.5.1: </w:t>
            </w:r>
            <w:r w:rsidRPr="005F0836">
              <w:rPr>
                <w:rFonts w:cstheme="minorHAnsi"/>
              </w:rPr>
              <w:t>Number of deaths, missing persons and directly affected persons attributed</w:t>
            </w:r>
          </w:p>
          <w:p w14:paraId="48669CAE" w14:textId="5E8868D4" w:rsidR="005377B9" w:rsidRPr="009F305C" w:rsidRDefault="005F0836" w:rsidP="005F0836">
            <w:r w:rsidRPr="005F0836">
              <w:rPr>
                <w:rFonts w:cstheme="minorHAnsi"/>
              </w:rPr>
              <w:t>to disasters per 1,000 population</w:t>
            </w:r>
            <w:r w:rsidR="00E46F48">
              <w:rPr>
                <w:rFonts w:cstheme="minorHAnsi"/>
              </w:rP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22A69B4" w:rsidR="003E7389" w:rsidRPr="005F0836" w:rsidRDefault="005F0836" w:rsidP="009F305C">
            <w:pPr>
              <w:rPr>
                <w:rFonts w:cstheme="minorHAnsi"/>
              </w:rPr>
            </w:pPr>
            <w:r w:rsidRPr="005F0836">
              <w:rPr>
                <w:rFonts w:cstheme="minorHAnsi"/>
              </w:rPr>
              <w:t>National Disaster Management Organisation (NADMO), District Office</w:t>
            </w:r>
            <w:r w:rsidR="00E46F48">
              <w:rPr>
                <w:rFonts w:cstheme="minorHAnsi"/>
              </w:rP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D1378A1" w14:textId="77777777" w:rsidR="005F0836" w:rsidRPr="005F0836" w:rsidRDefault="005F0836" w:rsidP="005F0836">
            <w:pPr>
              <w:autoSpaceDE w:val="0"/>
              <w:autoSpaceDN w:val="0"/>
              <w:adjustRightInd w:val="0"/>
              <w:spacing w:after="0" w:line="240" w:lineRule="auto"/>
              <w:rPr>
                <w:rFonts w:cstheme="minorHAnsi"/>
                <w:b/>
                <w:bCs/>
              </w:rPr>
            </w:pPr>
            <w:r w:rsidRPr="005F0836">
              <w:rPr>
                <w:rFonts w:cstheme="minorHAnsi"/>
                <w:b/>
                <w:bCs/>
              </w:rPr>
              <w:t>Definition:</w:t>
            </w:r>
          </w:p>
          <w:p w14:paraId="1F07987A"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This indicator measures the number of people who died, went missing or were directly affected by</w:t>
            </w:r>
          </w:p>
          <w:p w14:paraId="7351B1F9" w14:textId="77777777" w:rsidR="0015178E" w:rsidRPr="005F0836" w:rsidRDefault="005F0836" w:rsidP="005F0836">
            <w:pPr>
              <w:rPr>
                <w:rFonts w:cstheme="minorHAnsi"/>
              </w:rPr>
            </w:pPr>
            <w:r w:rsidRPr="005F0836">
              <w:rPr>
                <w:rFonts w:cstheme="minorHAnsi"/>
              </w:rPr>
              <w:t>disasters per 1,000 population.</w:t>
            </w:r>
          </w:p>
          <w:p w14:paraId="76DE9416" w14:textId="77777777" w:rsidR="005F0836" w:rsidRPr="005F0836" w:rsidRDefault="005F0836" w:rsidP="005F0836">
            <w:pPr>
              <w:autoSpaceDE w:val="0"/>
              <w:autoSpaceDN w:val="0"/>
              <w:adjustRightInd w:val="0"/>
              <w:spacing w:after="0" w:line="240" w:lineRule="auto"/>
              <w:rPr>
                <w:rFonts w:cstheme="minorHAnsi"/>
                <w:b/>
                <w:bCs/>
              </w:rPr>
            </w:pPr>
            <w:r w:rsidRPr="005F0836">
              <w:rPr>
                <w:rFonts w:cstheme="minorHAnsi"/>
                <w:b/>
                <w:bCs/>
              </w:rPr>
              <w:t>Concepts:</w:t>
            </w:r>
          </w:p>
          <w:p w14:paraId="53E40A59"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Death: </w:t>
            </w:r>
            <w:r w:rsidRPr="005F0836">
              <w:rPr>
                <w:rFonts w:cstheme="minorHAnsi"/>
              </w:rPr>
              <w:t>The number of people who died during the disaster, or directly after, as a direct result of the</w:t>
            </w:r>
          </w:p>
          <w:p w14:paraId="60A60AD3" w14:textId="77777777" w:rsidR="005F0836" w:rsidRPr="005F0836" w:rsidRDefault="005F0836" w:rsidP="005F0836">
            <w:pPr>
              <w:autoSpaceDE w:val="0"/>
              <w:autoSpaceDN w:val="0"/>
              <w:adjustRightInd w:val="0"/>
              <w:spacing w:after="0" w:line="240" w:lineRule="auto"/>
              <w:rPr>
                <w:rFonts w:cstheme="minorHAnsi"/>
                <w:b/>
                <w:bCs/>
              </w:rPr>
            </w:pPr>
            <w:r w:rsidRPr="005F0836">
              <w:rPr>
                <w:rFonts w:cstheme="minorHAnsi"/>
              </w:rPr>
              <w:t>hazardous event.</w:t>
            </w:r>
            <w:r w:rsidRPr="005F0836">
              <w:rPr>
                <w:rFonts w:cstheme="minorHAnsi"/>
                <w:b/>
                <w:bCs/>
              </w:rPr>
              <w:t xml:space="preserve"> </w:t>
            </w:r>
          </w:p>
          <w:p w14:paraId="4E741357" w14:textId="28C31FC1"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Missing: </w:t>
            </w:r>
            <w:r w:rsidRPr="005F0836">
              <w:rPr>
                <w:rFonts w:cstheme="minorHAnsi"/>
              </w:rPr>
              <w:t>The number of people whose whereabouts is unknown since the hazardous event. It</w:t>
            </w:r>
          </w:p>
          <w:p w14:paraId="5616D2D6"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includes people who are presumed dead, for whom there is no physical evidence such as a body,</w:t>
            </w:r>
          </w:p>
          <w:p w14:paraId="44A33A9A"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and for which an official/legal report has been filed with Police.</w:t>
            </w:r>
          </w:p>
          <w:p w14:paraId="450BFE23"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Directly affected: </w:t>
            </w:r>
            <w:r w:rsidRPr="005F0836">
              <w:rPr>
                <w:rFonts w:cstheme="minorHAnsi"/>
              </w:rPr>
              <w:t>The number of people who have suffered injury, illness or other health effects;</w:t>
            </w:r>
          </w:p>
          <w:p w14:paraId="78215689"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who were evacuated, displaced, relocated or have suffered direct damage to their livelihoods,</w:t>
            </w:r>
          </w:p>
          <w:p w14:paraId="6C84E827" w14:textId="3201AD19" w:rsidR="005F0836" w:rsidRPr="005F0836" w:rsidRDefault="005F0836" w:rsidP="005F0836">
            <w:pPr>
              <w:rPr>
                <w:rFonts w:cstheme="minorHAnsi"/>
              </w:rPr>
            </w:pPr>
            <w:r w:rsidRPr="005F0836">
              <w:rPr>
                <w:rFonts w:cstheme="minorHAnsi"/>
              </w:rPr>
              <w:t>economic, physical, social, cultural and environmental assets.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13054D3" w:rsidR="0035311B" w:rsidRPr="009F305C" w:rsidRDefault="00300C0E" w:rsidP="009F305C">
            <w:r>
              <w:t>Institutional data</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D9697DD" w:rsidR="0035311B" w:rsidRPr="009F305C" w:rsidRDefault="00300C0E" w:rsidP="009F305C">
            <w:r>
              <w:t>NADMO</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9775CC9"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In Ghana, disaster data are collected by the NADMO and national disaster loss databases are</w:t>
            </w:r>
          </w:p>
          <w:p w14:paraId="60E54013" w14:textId="132F50C8" w:rsidR="0035311B" w:rsidRPr="009F305C" w:rsidRDefault="009039C7" w:rsidP="009039C7">
            <w:r w:rsidRPr="009039C7">
              <w:rPr>
                <w:rFonts w:cstheme="minorHAnsi"/>
              </w:rPr>
              <w:t>established and managed by them.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32013BC" w:rsidR="0035311B" w:rsidRPr="009F305C" w:rsidRDefault="00300C0E" w:rsidP="009F305C">
            <w:r>
              <w:t>NADMO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F5D90F4" w:rsidR="0035311B" w:rsidRPr="009F305C" w:rsidRDefault="00300C0E" w:rsidP="009F305C">
            <w:r>
              <w:t>NADMO District offices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7E5EBC8"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The indicator is based on the Sendai Framework for Disaster Risk Reduction 2015-2030 which was</w:t>
            </w:r>
          </w:p>
          <w:p w14:paraId="3A932369"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adopted by UN Member States in March 2015 as a global policy of disaster risk reduction. Two key</w:t>
            </w:r>
          </w:p>
          <w:p w14:paraId="39C23F1F"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targets of the framework are: (i) To substantially reduce global disaster mortality by 2030, aiming to</w:t>
            </w:r>
          </w:p>
          <w:p w14:paraId="6BFC6924"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lower the average global figure per 100,000 global mortality between 2020 and 2030 compared with</w:t>
            </w:r>
          </w:p>
          <w:p w14:paraId="4D5A84F6"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2005-2015” and (ii) To substantially reduce the number of affected people globally by 2030, aiming</w:t>
            </w:r>
          </w:p>
          <w:p w14:paraId="24ABA703"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to lower the average global figure per 100,000 between 2020 and 2030 compared with 2005-2015”.</w:t>
            </w:r>
          </w:p>
          <w:p w14:paraId="6832E92A"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Meeting the targets will contribute to sustainable development and strengthen economic, social,</w:t>
            </w:r>
          </w:p>
          <w:p w14:paraId="0427F09D"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health and environmental resilience. The economic, environmental and social perspectives would</w:t>
            </w:r>
          </w:p>
          <w:p w14:paraId="2E3517AC" w14:textId="0B467049" w:rsidR="007F2D9F" w:rsidRPr="005F0836" w:rsidRDefault="005F0836" w:rsidP="005F0836">
            <w:pPr>
              <w:rPr>
                <w:rFonts w:cstheme="minorHAnsi"/>
              </w:rPr>
            </w:pPr>
            <w:r w:rsidRPr="005F0836">
              <w:rPr>
                <w:rFonts w:cstheme="minorHAnsi"/>
              </w:rPr>
              <w:t>include poverty eradication, urban resilience, and climate change adaptation.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813832" w14:textId="77777777" w:rsidR="009039C7" w:rsidRPr="009039C7" w:rsidRDefault="009039C7" w:rsidP="009039C7">
            <w:pPr>
              <w:autoSpaceDE w:val="0"/>
              <w:autoSpaceDN w:val="0"/>
              <w:adjustRightInd w:val="0"/>
              <w:spacing w:after="0" w:line="240" w:lineRule="auto"/>
              <w:rPr>
                <w:rFonts w:cstheme="minorHAnsi"/>
                <w:b/>
                <w:bCs/>
              </w:rPr>
            </w:pPr>
            <w:r w:rsidRPr="009039C7">
              <w:rPr>
                <w:rFonts w:cstheme="minorHAnsi"/>
                <w:b/>
                <w:bCs/>
              </w:rPr>
              <w:t>Computation Method:</w:t>
            </w:r>
          </w:p>
          <w:p w14:paraId="545591CE"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 xml:space="preserve">This indicator, </w:t>
            </w:r>
            <w:r w:rsidRPr="009039C7">
              <w:rPr>
                <w:rFonts w:cstheme="minorHAnsi"/>
                <w:i/>
                <w:iCs/>
              </w:rPr>
              <w:t>X</w:t>
            </w:r>
            <w:r w:rsidRPr="009039C7">
              <w:rPr>
                <w:rFonts w:cstheme="minorHAnsi"/>
              </w:rPr>
              <w:t>, is calculated as a simple summation of related indicators (death, missing people,</w:t>
            </w:r>
          </w:p>
          <w:p w14:paraId="71C77C27"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and affected people) from MMDAs disaster loss databases divided by the district population data</w:t>
            </w:r>
          </w:p>
          <w:p w14:paraId="25188AE5" w14:textId="77777777" w:rsidR="007F2D9F" w:rsidRDefault="009039C7" w:rsidP="009039C7">
            <w:pPr>
              <w:rPr>
                <w:rFonts w:cstheme="minorHAnsi"/>
              </w:rPr>
            </w:pPr>
            <w:r w:rsidRPr="009039C7">
              <w:rPr>
                <w:rFonts w:cstheme="minorHAnsi"/>
              </w:rPr>
              <w:t>from population and housing census.</w:t>
            </w:r>
          </w:p>
          <w:p w14:paraId="7FFB7426" w14:textId="174CC98D" w:rsidR="00561174" w:rsidRDefault="00561174" w:rsidP="00561174">
            <w:pPr>
              <w:autoSpaceDE w:val="0"/>
              <w:autoSpaceDN w:val="0"/>
              <w:adjustRightInd w:val="0"/>
              <w:spacing w:after="0" w:line="240" w:lineRule="auto"/>
              <w:rPr>
                <w:rFonts w:ascii="CMR5" w:hAnsi="CMR5" w:cs="CMR5"/>
                <w:sz w:val="10"/>
                <w:szCs w:val="10"/>
              </w:rPr>
            </w:pPr>
            <w:r>
              <w:rPr>
                <w:rFonts w:ascii="CMR10" w:hAnsi="CMR10" w:cs="CMR10"/>
                <w:sz w:val="20"/>
                <w:szCs w:val="20"/>
              </w:rPr>
              <w:t>x=</w:t>
            </w:r>
            <w:r>
              <w:rPr>
                <w:rFonts w:ascii="CMR10" w:hAnsi="CMR10" w:cs="CMR10"/>
                <w:sz w:val="20"/>
                <w:szCs w:val="20"/>
              </w:rPr>
              <w:t xml:space="preserve">           </w:t>
            </w:r>
            <w:r>
              <w:rPr>
                <w:rFonts w:ascii="CMR10" w:hAnsi="CMR10" w:cs="CMR10"/>
                <w:sz w:val="20"/>
                <w:szCs w:val="20"/>
              </w:rPr>
              <w:t xml:space="preserve"> </w:t>
            </w:r>
            <w:r w:rsidRPr="00561174">
              <w:rPr>
                <w:rFonts w:ascii="CMMI7" w:hAnsi="CMMI7" w:cs="CMMI7"/>
                <w:sz w:val="14"/>
                <w:szCs w:val="14"/>
                <w:u w:val="single"/>
              </w:rPr>
              <w:t>A</w:t>
            </w:r>
            <w:r w:rsidRPr="00561174">
              <w:rPr>
                <w:rFonts w:ascii="CMR5" w:hAnsi="CMR5" w:cs="CMR5"/>
                <w:sz w:val="10"/>
                <w:szCs w:val="10"/>
                <w:u w:val="single"/>
              </w:rPr>
              <w:t>2</w:t>
            </w:r>
            <w:r w:rsidRPr="00561174">
              <w:rPr>
                <w:rFonts w:ascii="CMR7" w:hAnsi="CMR7" w:cs="CMR7"/>
                <w:sz w:val="14"/>
                <w:szCs w:val="14"/>
                <w:u w:val="single"/>
              </w:rPr>
              <w:t>+</w:t>
            </w:r>
            <w:r w:rsidRPr="00561174">
              <w:rPr>
                <w:rFonts w:ascii="CMMI7" w:hAnsi="CMMI7" w:cs="CMMI7"/>
                <w:sz w:val="14"/>
                <w:szCs w:val="14"/>
                <w:u w:val="single"/>
              </w:rPr>
              <w:t>A</w:t>
            </w:r>
            <w:r w:rsidRPr="00561174">
              <w:rPr>
                <w:rFonts w:ascii="CMR5" w:hAnsi="CMR5" w:cs="CMR5"/>
                <w:sz w:val="10"/>
                <w:szCs w:val="10"/>
                <w:u w:val="single"/>
              </w:rPr>
              <w:t>3</w:t>
            </w:r>
            <w:r w:rsidRPr="00561174">
              <w:rPr>
                <w:rFonts w:ascii="CMR7" w:hAnsi="CMR7" w:cs="CMR7"/>
                <w:sz w:val="14"/>
                <w:szCs w:val="14"/>
                <w:u w:val="single"/>
              </w:rPr>
              <w:t>+</w:t>
            </w:r>
            <w:r w:rsidRPr="00561174">
              <w:rPr>
                <w:rFonts w:ascii="CMMI7" w:hAnsi="CMMI7" w:cs="CMMI7"/>
                <w:sz w:val="14"/>
                <w:szCs w:val="14"/>
                <w:u w:val="single"/>
              </w:rPr>
              <w:t>B</w:t>
            </w:r>
            <w:r w:rsidRPr="00561174">
              <w:rPr>
                <w:rFonts w:ascii="CMR5" w:hAnsi="CMR5" w:cs="CMR5"/>
                <w:sz w:val="10"/>
                <w:szCs w:val="10"/>
                <w:u w:val="single"/>
              </w:rPr>
              <w:t>1</w:t>
            </w:r>
          </w:p>
          <w:p w14:paraId="4836A2A4" w14:textId="6DFD40AE" w:rsidR="009039C7" w:rsidRDefault="00561174" w:rsidP="00561174">
            <w:r>
              <w:rPr>
                <w:rFonts w:ascii="CMMI7" w:hAnsi="CMMI7" w:cs="CMMI7"/>
                <w:sz w:val="14"/>
                <w:szCs w:val="14"/>
              </w:rPr>
              <w:t xml:space="preserve">             </w:t>
            </w:r>
            <w:r>
              <w:rPr>
                <w:rFonts w:ascii="CMMI7" w:hAnsi="CMMI7" w:cs="CMMI7"/>
                <w:sz w:val="14"/>
                <w:szCs w:val="14"/>
              </w:rPr>
              <w:t>District</w:t>
            </w:r>
            <w:r>
              <w:rPr>
                <w:rFonts w:ascii="CMMI7" w:hAnsi="CMMI7" w:cs="CMMI7"/>
                <w:sz w:val="14"/>
                <w:szCs w:val="14"/>
              </w:rPr>
              <w:t xml:space="preserve">  </w:t>
            </w:r>
            <w:r>
              <w:rPr>
                <w:rFonts w:ascii="CMMI7" w:hAnsi="CMMI7" w:cs="CMMI7"/>
                <w:sz w:val="14"/>
                <w:szCs w:val="14"/>
              </w:rPr>
              <w:t xml:space="preserve">population </w:t>
            </w:r>
            <w:r>
              <w:rPr>
                <w:rFonts w:ascii="CMMI7" w:hAnsi="CMMI7" w:cs="CMMI7"/>
                <w:sz w:val="14"/>
                <w:szCs w:val="14"/>
              </w:rPr>
              <w:t xml:space="preserve">  </w:t>
            </w:r>
            <w:r>
              <w:rPr>
                <w:rFonts w:ascii="CMR10" w:hAnsi="CMR10" w:cs="CMR10"/>
                <w:sz w:val="20"/>
                <w:szCs w:val="20"/>
              </w:rPr>
              <w:t>x 1000</w:t>
            </w:r>
          </w:p>
          <w:p w14:paraId="6489EB57"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Where:</w:t>
            </w:r>
          </w:p>
          <w:p w14:paraId="1A165208"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A2 Number of deaths attributed to disasters;</w:t>
            </w:r>
          </w:p>
          <w:p w14:paraId="6555C62F"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A3 Number of missing persons attributed to disasters; and</w:t>
            </w:r>
          </w:p>
          <w:p w14:paraId="26A0EBA4"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B1 Number of directly affected people attributed to disasters.</w:t>
            </w:r>
          </w:p>
          <w:p w14:paraId="067CC202"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Note: From practical perspective, double counting of affected people is almost unavoidable (for</w:t>
            </w:r>
          </w:p>
          <w:p w14:paraId="7B2B6884"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example, injured and relocated) in many countries. Minimum double counting is summing</w:t>
            </w:r>
          </w:p>
          <w:p w14:paraId="4B558D15"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“number of injured” and Number of people whose housings were damaged or destroyed. Relocated</w:t>
            </w:r>
          </w:p>
          <w:p w14:paraId="5A53B8A7" w14:textId="2C1245A8" w:rsidR="009039C7" w:rsidRPr="009F305C" w:rsidRDefault="009039C7" w:rsidP="009039C7">
            <w:r w:rsidRPr="009039C7">
              <w:rPr>
                <w:rFonts w:cstheme="minorHAnsi"/>
              </w:rPr>
              <w:t>is sub-set of number of people whose housings were destroyed.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751154A" w14:textId="77777777" w:rsidR="009039C7" w:rsidRPr="009039C7" w:rsidRDefault="009039C7" w:rsidP="009039C7">
            <w:pPr>
              <w:autoSpaceDE w:val="0"/>
              <w:autoSpaceDN w:val="0"/>
              <w:adjustRightInd w:val="0"/>
              <w:spacing w:after="0" w:line="240" w:lineRule="auto"/>
              <w:rPr>
                <w:rFonts w:cstheme="minorHAnsi"/>
                <w:b/>
                <w:bCs/>
              </w:rPr>
            </w:pPr>
            <w:r w:rsidRPr="009039C7">
              <w:rPr>
                <w:rFonts w:cstheme="minorHAnsi"/>
                <w:b/>
                <w:bCs/>
              </w:rPr>
              <w:t>Data Disaggregation</w:t>
            </w:r>
          </w:p>
          <w:p w14:paraId="3CAA7E64"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The data (Number of deaths attributed to disasters; Number of missing persons attributed to</w:t>
            </w:r>
          </w:p>
          <w:p w14:paraId="73BF993E"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disasters; and Number of directly affected people attributed to disasters) could be disaggregated by:</w:t>
            </w:r>
          </w:p>
          <w:p w14:paraId="1866D457"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Hazard type (climatological, hydrological, meteorological, geophysical, biological and extraterrestrial</w:t>
            </w:r>
          </w:p>
          <w:p w14:paraId="3BECC7FA"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for natural hazard)</w:t>
            </w:r>
          </w:p>
          <w:p w14:paraId="05C08868"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Geographical area (Administrative Unit)</w:t>
            </w:r>
          </w:p>
          <w:p w14:paraId="463DB54E"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Sex</w:t>
            </w:r>
          </w:p>
          <w:p w14:paraId="48613BAA"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Age</w:t>
            </w:r>
          </w:p>
          <w:p w14:paraId="553AC9CA"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Disability</w:t>
            </w:r>
          </w:p>
          <w:p w14:paraId="39185D77" w14:textId="4B5C2CD7" w:rsidR="00776312" w:rsidRPr="009F305C" w:rsidRDefault="009039C7" w:rsidP="009039C7">
            <w:r w:rsidRPr="009039C7">
              <w:rPr>
                <w:rFonts w:cstheme="minorHAnsi"/>
              </w:rPr>
              <w:t>Death/missing/injured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9DC3282" w14:textId="77777777" w:rsidR="009039C7" w:rsidRPr="009039C7" w:rsidRDefault="009039C7" w:rsidP="009039C7">
            <w:pPr>
              <w:autoSpaceDE w:val="0"/>
              <w:autoSpaceDN w:val="0"/>
              <w:adjustRightInd w:val="0"/>
              <w:spacing w:after="0" w:line="240" w:lineRule="auto"/>
              <w:rPr>
                <w:rFonts w:cstheme="minorHAnsi"/>
                <w:b/>
                <w:bCs/>
                <w:sz w:val="20"/>
                <w:szCs w:val="20"/>
              </w:rPr>
            </w:pPr>
            <w:r w:rsidRPr="009039C7">
              <w:rPr>
                <w:rFonts w:cstheme="minorHAnsi"/>
                <w:b/>
                <w:bCs/>
                <w:sz w:val="20"/>
                <w:szCs w:val="20"/>
              </w:rPr>
              <w:t>References</w:t>
            </w:r>
          </w:p>
          <w:p w14:paraId="5F8A4D16"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Official SDG Metadata URL: https://unstats.un.org/sdgs/metadata/files/Metadata-01-05-01.pdf</w:t>
            </w:r>
          </w:p>
          <w:p w14:paraId="57BC371B"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Internationally agreed methodology and guideline URL:</w:t>
            </w:r>
          </w:p>
          <w:p w14:paraId="6A9AF926"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Technical guidance for monitoring and reporting on progress in achieving the global targets of the</w:t>
            </w:r>
          </w:p>
          <w:p w14:paraId="565507B0"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Sendai Framework for Disaster Risk Reduction (UNISDR 2017)</w:t>
            </w:r>
          </w:p>
          <w:p w14:paraId="1714BF76"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https://www.preventionweb.net/files/54970_collectionoftechnicalguidancenoteso.pdf</w:t>
            </w:r>
          </w:p>
          <w:p w14:paraId="1201C126" w14:textId="77777777" w:rsidR="009039C7" w:rsidRPr="009039C7" w:rsidRDefault="009039C7" w:rsidP="009039C7">
            <w:pPr>
              <w:autoSpaceDE w:val="0"/>
              <w:autoSpaceDN w:val="0"/>
              <w:adjustRightInd w:val="0"/>
              <w:spacing w:after="0" w:line="240" w:lineRule="auto"/>
              <w:rPr>
                <w:rFonts w:cstheme="minorHAnsi"/>
                <w:b/>
                <w:bCs/>
                <w:sz w:val="20"/>
                <w:szCs w:val="20"/>
              </w:rPr>
            </w:pPr>
            <w:r w:rsidRPr="009039C7">
              <w:rPr>
                <w:rFonts w:cstheme="minorHAnsi"/>
                <w:b/>
                <w:bCs/>
                <w:sz w:val="20"/>
                <w:szCs w:val="20"/>
              </w:rPr>
              <w:t>Other references:</w:t>
            </w:r>
          </w:p>
          <w:p w14:paraId="685B99E1"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Report of the open-ended intergovernmental expert working group on indicators and terminology</w:t>
            </w:r>
          </w:p>
          <w:p w14:paraId="1D2B4D18"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 xml:space="preserve">relating to disaster risk reduction (OEIWG). </w:t>
            </w:r>
            <w:r w:rsidRPr="009039C7">
              <w:rPr>
                <w:rFonts w:cstheme="minorHAnsi"/>
                <w:i/>
                <w:iCs/>
                <w:sz w:val="20"/>
                <w:szCs w:val="20"/>
              </w:rPr>
              <w:t>Endorsed by UNGA on 2</w:t>
            </w:r>
            <w:r w:rsidRPr="009039C7">
              <w:rPr>
                <w:rFonts w:cstheme="minorHAnsi"/>
                <w:sz w:val="20"/>
                <w:szCs w:val="20"/>
              </w:rPr>
              <w:t xml:space="preserve">nd </w:t>
            </w:r>
            <w:r w:rsidRPr="009039C7">
              <w:rPr>
                <w:rFonts w:cstheme="minorHAnsi"/>
                <w:i/>
                <w:iCs/>
                <w:sz w:val="20"/>
                <w:szCs w:val="20"/>
              </w:rPr>
              <w:t xml:space="preserve">February 2017. </w:t>
            </w:r>
            <w:r w:rsidRPr="009039C7">
              <w:rPr>
                <w:rFonts w:cstheme="minorHAnsi"/>
                <w:sz w:val="20"/>
                <w:szCs w:val="20"/>
              </w:rPr>
              <w:t>Available at:</w:t>
            </w:r>
          </w:p>
          <w:p w14:paraId="127FB56F" w14:textId="21394AF7" w:rsidR="006F104C" w:rsidRPr="009F305C" w:rsidRDefault="009039C7" w:rsidP="009039C7">
            <w:r w:rsidRPr="009039C7">
              <w:rPr>
                <w:rFonts w:cstheme="minorHAnsi"/>
                <w:sz w:val="20"/>
                <w:szCs w:val="20"/>
              </w:rPr>
              <w:t>https://www.preventionweb.net/publications/view/51748</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MR10">
    <w:altName w:val="Calibri"/>
    <w:panose1 w:val="00000000000000000000"/>
    <w:charset w:val="00"/>
    <w:family w:val="auto"/>
    <w:notTrueType/>
    <w:pitch w:val="default"/>
    <w:sig w:usb0="00000003" w:usb1="00000000" w:usb2="00000000" w:usb3="00000000" w:csb0="00000001" w:csb1="00000000"/>
  </w:font>
  <w:font w:name="CMR5">
    <w:altName w:val="Calibri"/>
    <w:panose1 w:val="00000000000000000000"/>
    <w:charset w:val="00"/>
    <w:family w:val="auto"/>
    <w:notTrueType/>
    <w:pitch w:val="default"/>
    <w:sig w:usb0="00000003" w:usb1="00000000" w:usb2="00000000" w:usb3="00000000" w:csb0="00000001" w:csb1="00000000"/>
  </w:font>
  <w:font w:name="CMMI7">
    <w:altName w:val="Calibri"/>
    <w:panose1 w:val="00000000000000000000"/>
    <w:charset w:val="00"/>
    <w:family w:val="auto"/>
    <w:notTrueType/>
    <w:pitch w:val="default"/>
    <w:sig w:usb0="00000003" w:usb1="00000000" w:usb2="00000000" w:usb3="00000000" w:csb0="00000001" w:csb1="00000000"/>
  </w:font>
  <w:font w:name="CMR7">
    <w:altName w:val="Calibri"/>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C0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1174"/>
    <w:rsid w:val="00571DE4"/>
    <w:rsid w:val="005803B3"/>
    <w:rsid w:val="00581C4A"/>
    <w:rsid w:val="00581D14"/>
    <w:rsid w:val="005966A8"/>
    <w:rsid w:val="005B293A"/>
    <w:rsid w:val="005B657A"/>
    <w:rsid w:val="005C091C"/>
    <w:rsid w:val="005C570B"/>
    <w:rsid w:val="005C76A1"/>
    <w:rsid w:val="005F0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9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F4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MR10">
    <w:altName w:val="Calibri"/>
    <w:panose1 w:val="00000000000000000000"/>
    <w:charset w:val="00"/>
    <w:family w:val="auto"/>
    <w:notTrueType/>
    <w:pitch w:val="default"/>
    <w:sig w:usb0="00000003" w:usb1="00000000" w:usb2="00000000" w:usb3="00000000" w:csb0="00000001" w:csb1="00000000"/>
  </w:font>
  <w:font w:name="CMR5">
    <w:altName w:val="Calibri"/>
    <w:panose1 w:val="00000000000000000000"/>
    <w:charset w:val="00"/>
    <w:family w:val="auto"/>
    <w:notTrueType/>
    <w:pitch w:val="default"/>
    <w:sig w:usb0="00000003" w:usb1="00000000" w:usb2="00000000" w:usb3="00000000" w:csb0="00000001" w:csb1="00000000"/>
  </w:font>
  <w:font w:name="CMMI7">
    <w:altName w:val="Calibri"/>
    <w:panose1 w:val="00000000000000000000"/>
    <w:charset w:val="00"/>
    <w:family w:val="auto"/>
    <w:notTrueType/>
    <w:pitch w:val="default"/>
    <w:sig w:usb0="00000003" w:usb1="00000000" w:usb2="00000000" w:usb3="00000000" w:csb0="00000001" w:csb1="00000000"/>
  </w:font>
  <w:font w:name="CMR7">
    <w:altName w:val="Calibri"/>
    <w:panose1 w:val="00000000000000000000"/>
    <w:charset w:val="00"/>
    <w:family w:val="auto"/>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2D3E66"/>
    <w:rsid w:val="0036646D"/>
    <w:rsid w:val="006153AA"/>
    <w:rsid w:val="0064052E"/>
    <w:rsid w:val="00760A1F"/>
    <w:rsid w:val="00DA061B"/>
    <w:rsid w:val="00E4246B"/>
    <w:rsid w:val="00E709E2"/>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33</TotalTime>
  <Pages>12</Pages>
  <Words>215990</Words>
  <Characters>1231145</Characters>
  <Application>Microsoft Office Word</Application>
  <DocSecurity>8</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1444247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2021-10-21T11:38:00Z</dcterms:created>
  <dcterms:modified xsi:type="dcterms:W3CDTF">2022-06-20T14:49:00Z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