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1.a.2 Proportion of total government spending on essential services, education [1.a.2] (SD_XPD_ESED)</w:t>
          </w:r>
          <w:bookmarkEnd w:id="1"/>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2571"/>
            <w:bookmarkStart w:id="5" w:name="_Toc36812684"/>
            <w:bookmarkStart w:id="6" w:name="_Toc36655608"/>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
              <w:rPr>
                <w:rFonts w:asciiTheme="minorHAnsi" w:hAnsiTheme="minorHAnsi" w:cstheme="minorHAnsi"/>
                <w:color w:val="auto"/>
                <w:sz w:val="22"/>
                <w:szCs w:val="22"/>
              </w:rPr>
            </w:pPr>
            <w:r>
              <w:fldChar w:fldCharType="begin"/>
            </w:r>
            <w:r>
              <w:instrText xml:space="preserve"> HYPERLINK "https://sustainabledevelopment-ghana.github.io/no-poverty" </w:instrText>
            </w:r>
            <w:r>
              <w:fldChar w:fldCharType="separate"/>
            </w:r>
            <w:r>
              <w:rPr>
                <w:rStyle w:val="55"/>
                <w:rFonts w:asciiTheme="minorHAnsi" w:hAnsiTheme="minorHAnsi" w:cstheme="minorHAnsi"/>
                <w:color w:val="auto"/>
                <w:sz w:val="22"/>
                <w:szCs w:val="22"/>
              </w:rPr>
              <w:t xml:space="preserve">Goal 1: </w:t>
            </w:r>
            <w:r>
              <w:rPr>
                <w:rStyle w:val="18"/>
                <w:rFonts w:asciiTheme="minorHAnsi" w:hAnsiTheme="minorHAnsi" w:cstheme="minorHAnsi"/>
                <w:color w:val="auto"/>
                <w:sz w:val="22"/>
                <w:szCs w:val="22"/>
                <w:u w:val="none"/>
              </w:rPr>
              <w:t xml:space="preserve">End poverty in all its forms everywhere </w:t>
            </w:r>
            <w:r>
              <w:rPr>
                <w:rStyle w:val="18"/>
                <w:rFonts w:asciiTheme="minorHAnsi" w:hAnsiTheme="minorHAnsi" w:cstheme="minorHAnsi"/>
                <w:color w:val="auto"/>
                <w:sz w:val="22"/>
                <w:szCs w:val="22"/>
                <w:u w:val="none"/>
              </w:rPr>
              <w:fldChar w:fldCharType="end"/>
            </w:r>
          </w:p>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1"/>
            </w:pPr>
            <w:r>
              <w:t>Target 1.a: Ensure significant mobilization of resources from a variety of sources, including through enhanced development cooperation, in order to provide adequate and predictable means for developing countries, in particular least developed countries, to implement programmes and policies to end poverty in all its dimensions</w:t>
            </w:r>
          </w:p>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
              <w:rPr>
                <w:rFonts w:asciiTheme="minorHAnsi" w:hAnsiTheme="minorHAnsi" w:cstheme="minorHAnsi"/>
                <w:color w:val="auto"/>
                <w:sz w:val="22"/>
                <w:szCs w:val="22"/>
              </w:rPr>
            </w:pPr>
            <w:r>
              <w:rPr>
                <w:rFonts w:asciiTheme="minorHAnsi" w:hAnsiTheme="minorHAnsi" w:cstheme="minorHAnsi"/>
                <w:color w:val="auto"/>
                <w:sz w:val="22"/>
                <w:szCs w:val="22"/>
              </w:rPr>
              <w:t>Indicator 1.a.2: Proportion of total government spending on essential services (education, health and social protection)</w:t>
            </w:r>
          </w:p>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1"/>
              <w:rPr>
                <w:color w:val="4A4A4A"/>
              </w:rPr>
            </w:pPr>
            <w:r>
              <w:t>UNESCO Institute for Statistics (UNESCO-UIS)</w:t>
            </w:r>
          </w:p>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6812685"/>
            <w:bookmarkStart w:id="10" w:name="_Toc36655609"/>
            <w:bookmarkStart w:id="11" w:name="_Toc36813072"/>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Ministry of Finance, Ministry of Health</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7932745"/>
            <w:bookmarkStart w:id="15" w:name="_Toc36813073"/>
            <w:bookmarkStart w:id="16" w:name="_Toc36812686"/>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Style w:val="20"/>
                <w:rFonts w:cs="Times New Roman"/>
                <w:color w:val="4A4A4A"/>
                <w:sz w:val="21"/>
                <w:szCs w:val="21"/>
              </w:rPr>
            </w:pPr>
            <w:r>
              <w:rPr>
                <w:rStyle w:val="20"/>
                <w:rFonts w:cs="Times New Roman"/>
                <w:color w:val="4A4A4A"/>
                <w:sz w:val="21"/>
                <w:szCs w:val="21"/>
              </w:rPr>
              <w:t>Definition:</w:t>
            </w:r>
          </w:p>
          <w:p>
            <w:pPr>
              <w:shd w:val="clear" w:color="auto" w:fill="FFFFFF"/>
              <w:spacing w:after="0"/>
              <w:rPr>
                <w:rFonts w:cs="Times New Roman"/>
                <w:color w:val="4A4A4A"/>
                <w:sz w:val="21"/>
                <w:szCs w:val="21"/>
              </w:rPr>
            </w:pPr>
            <w:r>
              <w:rPr>
                <w:color w:val="4A4A4A"/>
                <w:sz w:val="21"/>
                <w:szCs w:val="21"/>
              </w:rPr>
              <w:t>Total general (local, regional and central) government expenditure on education (current, capital, and transfers), expressed as a percentage of total general government expenditure on all sectors (including health, education, social services, etc.). It includes expenditure funded by transfers from international sources to the government.</w:t>
            </w:r>
          </w:p>
          <w:p>
            <w:pPr>
              <w:pStyle w:val="56"/>
              <w:shd w:val="clear" w:color="auto" w:fill="FFFFFF"/>
              <w:spacing w:before="0" w:beforeAutospacing="0" w:after="0" w:afterAutospacing="0"/>
              <w:rPr>
                <w:rFonts w:asciiTheme="minorHAnsi" w:hAnsiTheme="minorHAnsi"/>
                <w:color w:val="4A4A4A"/>
                <w:sz w:val="21"/>
                <w:szCs w:val="21"/>
              </w:rPr>
            </w:pPr>
          </w:p>
          <w:p>
            <w:pPr>
              <w:shd w:val="clear" w:color="auto" w:fill="FFFFFF"/>
              <w:spacing w:after="0"/>
              <w:rPr>
                <w:rFonts w:cs="Times New Roman"/>
                <w:color w:val="4A4A4A"/>
                <w:sz w:val="21"/>
                <w:szCs w:val="21"/>
              </w:rPr>
            </w:pPr>
            <w:r>
              <w:rPr>
                <w:rStyle w:val="20"/>
                <w:rFonts w:cs="Times New Roman"/>
                <w:color w:val="4A4A4A"/>
                <w:sz w:val="21"/>
                <w:szCs w:val="21"/>
              </w:rPr>
              <w:t>Concepts:</w:t>
            </w:r>
          </w:p>
          <w:p>
            <w:pPr>
              <w:pStyle w:val="56"/>
              <w:shd w:val="clear" w:color="auto" w:fill="FFFFFF"/>
              <w:spacing w:before="0" w:beforeAutospacing="0" w:after="0" w:afterAutospacing="0"/>
              <w:rPr>
                <w:rFonts w:asciiTheme="minorHAnsi" w:hAnsiTheme="minorHAnsi"/>
                <w:color w:val="4A4A4A"/>
                <w:sz w:val="21"/>
                <w:szCs w:val="21"/>
              </w:rPr>
            </w:pPr>
            <w:r>
              <w:rPr>
                <w:rFonts w:asciiTheme="minorHAnsi" w:hAnsiTheme="minorHAnsi"/>
                <w:color w:val="4A4A4A"/>
                <w:sz w:val="21"/>
                <w:szCs w:val="21"/>
              </w:rPr>
              <w:t>Government expenditure on education covers educational expenditure by all levels of government (local, regional, central) on the formal education system, from early childhood to tertiary education, in both public and private instructional and non-instructional institutions within the borders of a country.</w:t>
            </w:r>
          </w:p>
          <w:p>
            <w:pPr>
              <w:pStyle w:val="56"/>
              <w:shd w:val="clear" w:color="auto" w:fill="FFFFFF"/>
              <w:spacing w:after="0"/>
              <w:rPr>
                <w:rFonts w:asciiTheme="minorHAnsi" w:hAnsiTheme="minorHAnsi"/>
                <w:color w:val="4A4A4A"/>
                <w:sz w:val="21"/>
                <w:szCs w:val="21"/>
              </w:rPr>
            </w:pPr>
            <w:r>
              <w:rPr>
                <w:rFonts w:asciiTheme="minorHAnsi" w:hAnsiTheme="minorHAnsi"/>
                <w:color w:val="4A4A4A"/>
                <w:sz w:val="21"/>
                <w:szCs w:val="21"/>
              </w:rPr>
              <w:t>Expenditure on education includes expenditure on core educational goods and services, such as teaching staff, school buildings, or school books and teaching materials, and peripheral educational goods and services such as ancillary services, general administration and other activities.</w:t>
            </w:r>
          </w:p>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rPr>
                <w:rFonts w:ascii="Sitka Subheading" w:hAnsi="Sitka Subheading" w:eastAsia="Calibri" w:cs="Arial"/>
                <w:i/>
                <w:iCs/>
                <w:sz w:val="20"/>
                <w:szCs w:val="20"/>
              </w:rPr>
              <w:t>2019 Programme Based Budgets of Ministry; 2019 Programme Based Budgets of Ministry of Health,</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Ministry of Health</w:t>
            </w:r>
          </w:p>
          <w:p>
            <w:r>
              <w:t>Ministry of Finance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2688"/>
            <w:bookmarkStart w:id="22" w:name="_Toc36655612"/>
            <w:bookmarkStart w:id="23" w:name="_Toc36812575"/>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The indicator measures the extent to which public spending in three key areas which are critical for poverty eradication, including health, education, and other direct transfers is directly allocated to individuals or households in the monetary poor as per the national definition.</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The indicator measures if public spending is targeting the monetary poor. Pro-poor social spending is defined if the proportion of government expenditures on social services is higher than the proportion of the population, measured at the level determined by national definition of income/consumption poverty (consistent with SDG 1.2.1). For instance, if the proportion of public spending received by the poor exceeds (falls below) the proportion of poor as defined by national definitions, public expenditures can be interpreted as pro-poor (not pro-poor). This is a strong measurement of the financial commitment governments make to target their services and transfers on the poor groups of society, reinforcing pro-poor development strategies.</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Further developments of the methodology and improvements in data availability may allow to expand this indicator to other vulnerable groups, such as women and children.</w:t>
            </w:r>
          </w:p>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Sum of all essential services divided by total government expenditure by 100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655613"/>
            <w:bookmarkStart w:id="27" w:name="_Toc36813076"/>
            <w:bookmarkStart w:id="28" w:name="_Toc36812689"/>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egoe UI">
    <w:panose1 w:val="020B0502040204020203"/>
    <w:charset w:val="00"/>
    <w:family w:val="swiss"/>
    <w:pitch w:val="default"/>
    <w:sig w:usb0="E4002EFF" w:usb1="C000E47F" w:usb2="00000009" w:usb3="00000000" w:csb0="200001FF" w:csb1="00000000"/>
  </w:font>
  <w:font w:name="Sitka Subheading">
    <w:panose1 w:val="00000000000000000000"/>
    <w:charset w:val="00"/>
    <w:family w:val="auto"/>
    <w:pitch w:val="default"/>
    <w:sig w:usb0="A00002EF" w:usb1="4000204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5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0F52"/>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258F5"/>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061F"/>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D2AB8"/>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67140C07"/>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qFormat="1"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5"/>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8"/>
    <w:semiHidden/>
    <w:unhideWhenUsed/>
    <w:uiPriority w:val="99"/>
    <w:pPr>
      <w:spacing w:line="240" w:lineRule="auto"/>
    </w:pPr>
    <w:rPr>
      <w:sz w:val="20"/>
      <w:szCs w:val="20"/>
    </w:rPr>
  </w:style>
  <w:style w:type="paragraph" w:styleId="9">
    <w:name w:val="annotation subject"/>
    <w:basedOn w:val="8"/>
    <w:next w:val="8"/>
    <w:link w:val="49"/>
    <w:semiHidden/>
    <w:unhideWhenUsed/>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51"/>
    <w:unhideWhenUsed/>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6"/>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3"/>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Normal (Web)"/>
    <w:semiHidden/>
    <w:unhideWhenUsed/>
    <w:uiPriority w:val="99"/>
    <w:pPr>
      <w:spacing w:before="0" w:beforeAutospacing="1" w:after="0" w:afterAutospacing="1"/>
      <w:ind w:left="0" w:right="0"/>
      <w:jc w:val="left"/>
    </w:pPr>
    <w:rPr>
      <w:kern w:val="0"/>
      <w:sz w:val="24"/>
      <w:szCs w:val="24"/>
      <w:lang w:val="en-US" w:eastAsia="zh-CN" w:bidi="ar"/>
    </w:rPr>
  </w:style>
  <w:style w:type="character" w:styleId="20">
    <w:name w:val="Strong"/>
    <w:basedOn w:val="4"/>
    <w:qFormat/>
    <w:uiPriority w:val="22"/>
    <w:rPr>
      <w:b/>
      <w:bCs/>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5"/>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uiPriority w:val="39"/>
    <w:pPr>
      <w:spacing w:after="100"/>
    </w:pPr>
  </w:style>
  <w:style w:type="paragraph" w:styleId="25">
    <w:name w:val="toc 2"/>
    <w:basedOn w:val="1"/>
    <w:next w:val="1"/>
    <w:unhideWhenUsed/>
    <w:uiPriority w:val="39"/>
    <w:pPr>
      <w:spacing w:after="100"/>
      <w:ind w:left="220"/>
    </w:pPr>
  </w:style>
  <w:style w:type="paragraph" w:styleId="26">
    <w:name w:val="toc 3"/>
    <w:basedOn w:val="1"/>
    <w:next w:val="1"/>
    <w:unhideWhenUsed/>
    <w:uiPriority w:val="39"/>
    <w:pPr>
      <w:spacing w:after="100"/>
      <w:ind w:left="440"/>
    </w:pPr>
  </w:style>
  <w:style w:type="character" w:customStyle="1" w:styleId="27">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8">
    <w:name w:val="TOC Heading"/>
    <w:basedOn w:val="2"/>
    <w:next w:val="1"/>
    <w:unhideWhenUsed/>
    <w:qFormat/>
    <w:uiPriority w:val="39"/>
    <w:pPr>
      <w:outlineLvl w:val="9"/>
    </w:pPr>
  </w:style>
  <w:style w:type="character" w:customStyle="1" w:styleId="29">
    <w:name w:val="Title Char"/>
    <w:basedOn w:val="4"/>
    <w:link w:val="23"/>
    <w:uiPriority w:val="10"/>
    <w:rPr>
      <w:rFonts w:asciiTheme="majorHAnsi" w:hAnsiTheme="majorHAnsi" w:eastAsiaTheme="majorEastAsia" w:cstheme="majorBidi"/>
      <w:spacing w:val="-10"/>
      <w:kern w:val="28"/>
      <w:sz w:val="56"/>
      <w:szCs w:val="56"/>
    </w:rPr>
  </w:style>
  <w:style w:type="character" w:customStyle="1" w:styleId="30">
    <w:name w:val="Subtitle Char"/>
    <w:basedOn w:val="4"/>
    <w:link w:val="21"/>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4"/>
    <w:link w:val="31"/>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4"/>
    <w:link w:val="33"/>
    <w:uiPriority w:val="0"/>
    <w:rPr>
      <w:rFonts w:eastAsia="Times New Roman" w:cs="Times New Roman"/>
      <w:color w:val="1C75BC"/>
      <w:shd w:val="clear" w:color="auto" w:fill="F5F5F5"/>
      <w:lang w:val="en-GB" w:eastAsia="en-GB"/>
    </w:rPr>
  </w:style>
  <w:style w:type="character" w:customStyle="1" w:styleId="35">
    <w:name w:val="Header Char"/>
    <w:basedOn w:val="4"/>
    <w:link w:val="17"/>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4"/>
    <w:link w:val="36"/>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4"/>
    <w:link w:val="39"/>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4"/>
    <w:link w:val="41"/>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4"/>
    <w:link w:val="16"/>
    <w:semiHidden/>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4"/>
    <w:link w:val="6"/>
    <w:semiHidden/>
    <w:uiPriority w:val="99"/>
    <w:rPr>
      <w:rFonts w:ascii="Segoe UI" w:hAnsi="Segoe UI" w:cs="Segoe UI"/>
      <w:sz w:val="18"/>
      <w:szCs w:val="18"/>
    </w:rPr>
  </w:style>
  <w:style w:type="character" w:customStyle="1" w:styleId="46">
    <w:name w:val="Footer Char"/>
    <w:basedOn w:val="4"/>
    <w:link w:val="13"/>
    <w:uiPriority w:val="99"/>
  </w:style>
  <w:style w:type="character" w:customStyle="1" w:styleId="47">
    <w:name w:val="Unresolved Mention1"/>
    <w:basedOn w:val="4"/>
    <w:semiHidden/>
    <w:unhideWhenUsed/>
    <w:uiPriority w:val="99"/>
    <w:rPr>
      <w:color w:val="605E5C"/>
      <w:shd w:val="clear" w:color="auto" w:fill="E1DFDD"/>
    </w:rPr>
  </w:style>
  <w:style w:type="character" w:customStyle="1" w:styleId="48">
    <w:name w:val="Comment Text Char"/>
    <w:basedOn w:val="4"/>
    <w:link w:val="8"/>
    <w:semiHidden/>
    <w:uiPriority w:val="99"/>
    <w:rPr>
      <w:sz w:val="20"/>
      <w:szCs w:val="20"/>
    </w:rPr>
  </w:style>
  <w:style w:type="character" w:customStyle="1" w:styleId="49">
    <w:name w:val="Comment Subject Char"/>
    <w:basedOn w:val="48"/>
    <w:link w:val="9"/>
    <w:semiHidden/>
    <w:uiPriority w:val="99"/>
    <w:rPr>
      <w:b/>
      <w:bCs/>
      <w:sz w:val="20"/>
      <w:szCs w:val="20"/>
    </w:rPr>
  </w:style>
  <w:style w:type="character" w:styleId="50">
    <w:name w:val="Placeholder Text"/>
    <w:basedOn w:val="4"/>
    <w:semiHidden/>
    <w:qFormat/>
    <w:uiPriority w:val="99"/>
    <w:rPr>
      <w:color w:val="808080"/>
    </w:rPr>
  </w:style>
  <w:style w:type="character" w:customStyle="1" w:styleId="51">
    <w:name w:val="Endnote Text Char"/>
    <w:basedOn w:val="4"/>
    <w:link w:val="11"/>
    <w:uiPriority w:val="99"/>
    <w:rPr>
      <w:sz w:val="20"/>
      <w:szCs w:val="20"/>
    </w:rPr>
  </w:style>
  <w:style w:type="character" w:customStyle="1" w:styleId="52">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4">
    <w:name w:val="Unresolved Mention"/>
    <w:basedOn w:val="4"/>
    <w:semiHidden/>
    <w:unhideWhenUsed/>
    <w:uiPriority w:val="99"/>
    <w:rPr>
      <w:color w:val="605E5C"/>
      <w:shd w:val="clear" w:color="auto" w:fill="E1DFDD"/>
    </w:rPr>
  </w:style>
  <w:style w:type="character" w:customStyle="1" w:styleId="55">
    <w:name w:val="hidden-sm"/>
    <w:basedOn w:val="4"/>
    <w:uiPriority w:val="0"/>
  </w:style>
  <w:style w:type="paragraph" w:customStyle="1" w:styleId="56">
    <w:name w:val="form-control-static"/>
    <w:basedOn w:val="1"/>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2A69BB"/>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215631</Words>
  <Characters>1229098</Characters>
  <Lines>10242</Lines>
  <Paragraphs>2883</Paragraphs>
  <TotalTime>39</TotalTime>
  <ScaleCrop>false</ScaleCrop>
  <LinksUpToDate>false</LinksUpToDate>
  <CharactersWithSpaces>1441846</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2021-10-17T22:26:00Z</dcterms:created>
  <dc:creator>Fanning, Stephen B (JMD)</dc:creator>
  <cp:lastModifiedBy>origi</cp:lastModifiedBy>
  <cp:lastPrinted>2020-04-16T14:23:00Z</cp:lastPrinted>
  <dcterms:modified xsi:type="dcterms:W3CDTF">2022-09-19T18:33:08Z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3B0A6D0BEB77450CAD0BDD65426E5E32</vt:lpwstr>
  </property>
</Properties>
</file>