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4.1.1 Proportion of children and young people achieving a minimum proficiency level in reading and mathematics [4.1.1] (SE_TOT_PRFL)</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"https://sustainabledevelopment-ghana.github.io/quality-education" </w:instrText>
            </w:r>
            <w:r>
              <w:fldChar w:fldCharType="separate"/>
            </w:r>
            <w:r>
              <w:rPr>
                <w:rStyle w:val="54"/>
                <w:rFonts w:asciiTheme="minorHAnsi" w:hAnsiTheme="minorHAnsi" w:cstheme="minorHAnsi"/>
                <w:color w:val="auto"/>
                <w:sz w:val="22"/>
                <w:szCs w:val="22"/>
              </w:rPr>
              <w:t xml:space="preserve">Goal 4: </w:t>
            </w:r>
            <w:r>
              <w:rPr>
                <w:rStyle w:val="18"/>
                <w:rFonts w:asciiTheme="minorHAnsi" w:hAnsiTheme="minorHAnsi" w:cstheme="minorHAnsi"/>
                <w:color w:val="auto"/>
                <w:sz w:val="22"/>
                <w:szCs w:val="22"/>
                <w:u w:val="none"/>
              </w:rPr>
              <w:t xml:space="preserve">Ensure inclusive and equitable quality education and promote lifelong learning opportunities for all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Bdr>
                <w:top w:val="none" w:color="auto" w:sz="0" w:space="0"/>
                <w:left w:val="none" w:color="auto" w:sz="0" w:space="0"/>
                <w:bottom w:val="none" w:color="auto" w:sz="0" w:space="0"/>
                <w:right w:val="none" w:color="auto" w:sz="0" w:space="0"/>
                <w:between w:val="none" w:color="auto" w:sz="0" w:space="0"/>
              </w:pBdr>
              <w:shd w:val="clear" w:color="auto" w:fill="F5F5F5"/>
              <w:spacing w:after="100" w:line="240" w:lineRule="auto"/>
              <w:rPr>
                <w:color w:val="333333"/>
                <w:sz w:val="21"/>
                <w:szCs w:val="21"/>
              </w:rPr>
            </w:pPr>
            <w:r>
              <w:rPr>
                <w:color w:val="333333"/>
                <w:sz w:val="21"/>
                <w:szCs w:val="21"/>
              </w:rPr>
              <w:t>Target 4.1: By 2030, ensure that all girls and boys complete free, equitable and quality primary and secondary education leading to relevant and effective learning outcomes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4.1.1: Proportion of children and young people: (a) in grades 2/3; (b) at the end of primary; and (c) at the end of lower secondary achieving at least a minimum proficiency level in (i) reading and (ii) mathematics, by sex</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Bdr>
                <w:top w:val="none" w:color="auto" w:sz="0" w:space="0"/>
                <w:left w:val="none" w:color="auto" w:sz="0" w:space="0"/>
                <w:bottom w:val="none" w:color="auto" w:sz="0" w:space="0"/>
                <w:right w:val="none" w:color="auto" w:sz="0" w:space="0"/>
                <w:between w:val="none" w:color="auto" w:sz="0" w:space="0"/>
              </w:pBdr>
              <w:shd w:val="clear" w:color="auto" w:fill="F5F5F5"/>
              <w:spacing w:after="100" w:line="240" w:lineRule="auto"/>
              <w:rPr>
                <w:color w:val="333333"/>
                <w:sz w:val="21"/>
                <w:szCs w:val="21"/>
              </w:rPr>
            </w:pPr>
            <w:r>
              <w:rPr>
                <w:color w:val="333333"/>
                <w:sz w:val="21"/>
                <w:szCs w:val="21"/>
              </w:rPr>
              <w:t>The parity indices for this indicator are reported in SDG indicator 4.5.1.</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Bdr>
                <w:top w:val="none" w:color="auto" w:sz="0" w:space="0"/>
                <w:left w:val="none" w:color="auto" w:sz="0" w:space="0"/>
                <w:bottom w:val="none" w:color="auto" w:sz="0" w:space="0"/>
                <w:right w:val="none" w:color="auto" w:sz="0" w:space="0"/>
                <w:between w:val="none" w:color="auto" w:sz="0" w:space="0"/>
              </w:pBdr>
              <w:shd w:val="clear" w:color="auto" w:fill="F5F5F5"/>
              <w:spacing w:after="100" w:line="240" w:lineRule="auto"/>
              <w:rPr>
                <w:color w:val="4A4A4A"/>
                <w:sz w:val="21"/>
                <w:szCs w:val="21"/>
              </w:rPr>
            </w:pPr>
            <w:r>
              <w:rPr>
                <w:color w:val="333333"/>
                <w:sz w:val="21"/>
                <w:szCs w:val="21"/>
              </w:rPr>
              <w:t>UNESCO Institute of Statistics (UIS)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bCs/>
                <w:color w:val="4A4A4A"/>
                <w:sz w:val="21"/>
                <w:szCs w:val="21"/>
              </w:rPr>
            </w:pPr>
            <w:r>
              <w:rPr>
                <w:b/>
                <w:bCs/>
                <w:color w:val="4A4A4A"/>
                <w:sz w:val="21"/>
                <w:szCs w:val="21"/>
              </w:rPr>
              <w:t>Definition:</w:t>
            </w:r>
          </w:p>
          <w:p>
            <w:pPr>
              <w:rPr>
                <w:color w:val="4A4A4A"/>
                <w:sz w:val="21"/>
                <w:szCs w:val="21"/>
              </w:rPr>
            </w:pPr>
            <w:r>
              <w:rPr>
                <w:color w:val="4A4A4A"/>
                <w:sz w:val="21"/>
                <w:szCs w:val="21"/>
              </w:rPr>
              <w:t>Percentage of children and young people achieving at least a minimum proficiency level in (i) reading and (ii) mathematics during primary education (Grade 2 or 3), at the end of primary education, and at the end of lower secondary education. The minimum proficiency level will be measured relative to new common reading and mathematics scales currently in development.</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Arial" w:cstheme="minorHAnsi"/>
                <w:iCs/>
              </w:rPr>
              <w:t>Ghana National Education Assessment,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 Ministry of Education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Education Service, Ministry of Education</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indicator aims to measure the percentage of children and young people who have achieved the minimum learning outcomes in reading and mathematics during or at the end of the relevant stages of education.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higher the figure, the higher the proportion of children and/or young people reaching at least minimum proficiency in the respective domain (reading or mathematic) with the limitations indicated under the “Comments and limitations” section.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number of children and/or young people at the relevant stage of education (n) in year (t) achieving at least the pre-defined proficiency level in subject s expressed as a percentage of the number of children and or young people at stage of education n, in year t, in any proficiency level in subjects.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0CD7"/>
    <w:rsid w:val="001C2C82"/>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215596</Words>
  <Characters>1228902</Characters>
  <Lines>10240</Lines>
  <Paragraphs>2883</Paragraphs>
  <TotalTime>32</TotalTime>
  <ScaleCrop>false</ScaleCrop>
  <LinksUpToDate>false</LinksUpToDate>
  <CharactersWithSpaces>1441615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2021-10-18T12:35:00Z</dcterms:created>
  <dc:creator>Fanning, Stephen B (JMD)</dc:creator>
  <cp:lastModifiedBy>origi</cp:lastModifiedBy>
  <cp:lastPrinted>2020-04-16T14:23:00Z</cp:lastPrinted>
  <dcterms:modified xsi:type="dcterms:W3CDTF">2022-09-20T08:58:34Z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2B108FBED4324FBFBE7F369DA5AFFF20</vt:lpwstr>
  </property>
</Properties>
</file>