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4.2.1 Proportion of children who are developmentally on track in at least three of the following domains: literacy-numeracy, physical development, social-emotional development, and learning [4.2.1] (SE_DEV_ONTRK)</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7932743"/>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pPr>
            <w:r>
              <w:t>Goal 4: Ensure inclusive and equitable quality education and promote lifelong learning opportunities for all</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t>Target 4.2: By 2030, ensure that all girls and boys have access to quality early childhood development, care and pre-primary education so that they are ready for primary education</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9"/>
            </w:pPr>
            <w:r>
              <w:t>Indicator 4.2.1: Proportion of children aged 24-59 months who are developmentally on track in health, learning and psychosocial well-being, by sex</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r>
              <w:t>Indicator 4.2.2: Participation rate in organized learning (one year before the official primary entry age), by sex</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color w:val="4A4A4A"/>
              </w:rPr>
            </w:pPr>
            <w:r>
              <w:t>United Nations Children's Fund (UNICEF)</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2686"/>
            <w:bookmarkStart w:id="15" w:name="_Toc368130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pPr>
            <w:r>
              <w:t>Definition:</w:t>
            </w:r>
          </w:p>
          <w:p>
            <w:pPr>
              <w:pStyle w:val="34"/>
            </w:pPr>
          </w:p>
          <w:p>
            <w:pPr>
              <w:pStyle w:val="34"/>
            </w:pPr>
            <w:r>
              <w:t>The proportion of children aged 24 to 59 months who are developmentally on track in health, learning and psychosocial well-being.</w:t>
            </w:r>
          </w:p>
          <w:p>
            <w:pPr>
              <w:pStyle w:val="34"/>
            </w:pPr>
          </w:p>
          <w:p>
            <w:pPr>
              <w:shd w:val="clear" w:color="auto" w:fill="FFFFFF"/>
              <w:contextualSpacing/>
              <w:jc w:val="both"/>
              <w:rPr>
                <w:rFonts w:eastAsia="Times New Roman" w:cs="Times New Roman"/>
                <w:b/>
                <w:color w:val="4A4A4A"/>
                <w:sz w:val="21"/>
                <w:szCs w:val="21"/>
                <w:lang w:eastAsia="en-GB"/>
              </w:rPr>
            </w:pPr>
            <w:r>
              <w:rPr>
                <w:rFonts w:eastAsia="Times New Roman" w:cs="Times New Roman"/>
                <w:b/>
                <w:color w:val="4A4A4A"/>
                <w:sz w:val="21"/>
                <w:szCs w:val="21"/>
                <w:lang w:eastAsia="en-GB"/>
              </w:rPr>
              <w:t>Concepts:</w:t>
            </w:r>
          </w:p>
          <w:p>
            <w:pPr>
              <w:shd w:val="clear" w:color="auto" w:fill="FFFFFF"/>
              <w:contextualSpacing/>
              <w:jc w:val="both"/>
              <w:rPr>
                <w:rFonts w:eastAsia="Times New Roman" w:cs="Times New Roman"/>
                <w:color w:val="4A4A4A"/>
                <w:sz w:val="21"/>
                <w:szCs w:val="21"/>
                <w:lang w:eastAsia="en-GB"/>
              </w:rPr>
            </w:pPr>
          </w:p>
          <w:p>
            <w:pPr>
              <w:shd w:val="clear" w:color="auto" w:fill="FFFFFF"/>
              <w:contextualSpacing/>
              <w:jc w:val="both"/>
              <w:rPr>
                <w:rFonts w:eastAsia="Times New Roman" w:cs="Times New Roman"/>
                <w:color w:val="4A4A4A"/>
                <w:sz w:val="21"/>
                <w:szCs w:val="21"/>
                <w:lang w:eastAsia="en-GB"/>
              </w:rPr>
            </w:pPr>
            <w:r>
              <w:rPr>
                <w:rFonts w:eastAsia="Times New Roman" w:cs="Times New Roman"/>
                <w:color w:val="4A4A4A"/>
                <w:sz w:val="21"/>
                <w:szCs w:val="21"/>
                <w:lang w:eastAsia="en-GB"/>
              </w:rPr>
              <w:t>The domains included in the indicator for SDG indicator 4.2.1 include the following concepts:</w:t>
            </w:r>
          </w:p>
          <w:p>
            <w:pPr>
              <w:pStyle w:val="42"/>
              <w:numPr>
                <w:ilvl w:val="0"/>
                <w:numId w:val="1"/>
              </w:numPr>
              <w:shd w:val="clear" w:color="auto" w:fill="FFFFFF"/>
              <w:spacing w:after="0"/>
              <w:jc w:val="both"/>
              <w:rPr>
                <w:rFonts w:eastAsia="Times New Roman" w:cs="Times New Roman"/>
                <w:color w:val="4A4A4A"/>
                <w:sz w:val="21"/>
                <w:szCs w:val="21"/>
                <w:lang w:val="en-US" w:eastAsia="en-GB"/>
              </w:rPr>
            </w:pPr>
            <w:r>
              <w:rPr>
                <w:rFonts w:eastAsia="Times New Roman" w:cs="Times New Roman"/>
                <w:b/>
                <w:bCs/>
                <w:color w:val="4A4A4A"/>
                <w:sz w:val="21"/>
                <w:szCs w:val="21"/>
                <w:lang w:val="en-US" w:eastAsia="en-GB"/>
              </w:rPr>
              <w:t>Health</w:t>
            </w:r>
            <w:r>
              <w:rPr>
                <w:rFonts w:eastAsia="Times New Roman" w:cs="Times New Roman"/>
                <w:color w:val="4A4A4A"/>
                <w:sz w:val="21"/>
                <w:szCs w:val="21"/>
                <w:lang w:val="en-US" w:eastAsia="en-GB"/>
              </w:rPr>
              <w:t>: gross motor development, fine motor development and self-care</w:t>
            </w:r>
          </w:p>
          <w:p>
            <w:pPr>
              <w:pStyle w:val="42"/>
              <w:numPr>
                <w:ilvl w:val="0"/>
                <w:numId w:val="1"/>
              </w:numPr>
              <w:shd w:val="clear" w:color="auto" w:fill="FFFFFF"/>
              <w:spacing w:after="0"/>
              <w:jc w:val="both"/>
              <w:rPr>
                <w:rFonts w:eastAsia="Times New Roman" w:cs="Times New Roman"/>
                <w:color w:val="4A4A4A"/>
                <w:sz w:val="21"/>
                <w:szCs w:val="21"/>
                <w:lang w:val="en-US" w:eastAsia="en-GB"/>
              </w:rPr>
            </w:pPr>
            <w:r>
              <w:rPr>
                <w:rFonts w:eastAsia="Times New Roman" w:cs="Times New Roman"/>
                <w:b/>
                <w:bCs/>
                <w:color w:val="4A4A4A"/>
                <w:sz w:val="21"/>
                <w:szCs w:val="21"/>
                <w:lang w:val="en-US" w:eastAsia="en-GB"/>
              </w:rPr>
              <w:t>Learning</w:t>
            </w:r>
            <w:r>
              <w:rPr>
                <w:rFonts w:eastAsia="Times New Roman" w:cs="Times New Roman"/>
                <w:color w:val="4A4A4A"/>
                <w:sz w:val="21"/>
                <w:szCs w:val="21"/>
                <w:lang w:val="en-US" w:eastAsia="en-GB"/>
              </w:rPr>
              <w:t>: expressive language, literacy, numeracy, pre-writing, and executive functioning</w:t>
            </w:r>
          </w:p>
          <w:p>
            <w:pPr>
              <w:pStyle w:val="42"/>
              <w:numPr>
                <w:ilvl w:val="0"/>
                <w:numId w:val="1"/>
              </w:numPr>
              <w:shd w:val="clear" w:color="auto" w:fill="FFFFFF"/>
              <w:spacing w:after="0"/>
              <w:jc w:val="both"/>
              <w:rPr>
                <w:rFonts w:eastAsia="Times New Roman" w:cs="Times New Roman"/>
                <w:b/>
                <w:bCs/>
                <w:color w:val="4A4A4A"/>
                <w:sz w:val="21"/>
                <w:szCs w:val="21"/>
                <w:lang w:val="en-US" w:eastAsia="en-GB"/>
              </w:rPr>
            </w:pPr>
            <w:r>
              <w:rPr>
                <w:rFonts w:eastAsia="Times New Roman" w:cs="Times New Roman"/>
                <w:b/>
                <w:bCs/>
                <w:color w:val="4A4A4A"/>
                <w:sz w:val="21"/>
                <w:szCs w:val="21"/>
                <w:lang w:val="en-US" w:eastAsia="en-GB"/>
              </w:rPr>
              <w:t xml:space="preserve">Psychosocial well-being: </w:t>
            </w:r>
            <w:r>
              <w:rPr>
                <w:rFonts w:eastAsia="Times New Roman" w:cs="Times New Roman"/>
                <w:color w:val="4A4A4A"/>
                <w:sz w:val="21"/>
                <w:szCs w:val="21"/>
                <w:lang w:val="en-US" w:eastAsia="en-GB"/>
              </w:rPr>
              <w:t>emotional skills, social skills, internalizing behavior, and externalizing behavior</w:t>
            </w:r>
          </w:p>
          <w:p>
            <w:pPr>
              <w:shd w:val="clear" w:color="auto" w:fill="FFFFFF"/>
              <w:spacing w:after="0"/>
              <w:jc w:val="both"/>
              <w:rPr>
                <w:rFonts w:eastAsia="Times New Roman" w:cs="Times New Roman"/>
                <w:b/>
                <w:bCs/>
                <w:color w:val="4A4A4A"/>
                <w:sz w:val="21"/>
                <w:szCs w:val="21"/>
                <w:lang w:eastAsia="en-GB"/>
              </w:rPr>
            </w:pPr>
          </w:p>
          <w:p>
            <w:pPr>
              <w:shd w:val="clear" w:color="auto" w:fill="FFFFFF"/>
              <w:spacing w:after="0"/>
              <w:jc w:val="both"/>
              <w:rPr>
                <w:rFonts w:eastAsia="Times New Roman" w:cs="Times New Roman"/>
                <w:color w:val="4A4A4A"/>
                <w:sz w:val="21"/>
                <w:szCs w:val="21"/>
                <w:lang w:eastAsia="en-GB"/>
              </w:rPr>
            </w:pPr>
            <w:r>
              <w:rPr>
                <w:rFonts w:eastAsia="Times New Roman" w:cs="Times New Roman"/>
                <w:color w:val="4A4A4A"/>
                <w:sz w:val="21"/>
                <w:szCs w:val="21"/>
                <w:lang w:eastAsia="en-GB"/>
              </w:rPr>
              <w:t>The recommended measure for SDG 4.2.1 is the Early Childhood Development Index 2030 (ECDI2030) which is a 20-item instrument to measure developmental outcomes among children aged 24 to 59 months in population-based surveys. The indicator derived from the ECDI2030 is the proportion of children aged 24 to 59 months who have achieved the minimum number of milestones expected for their age group, defined as follows:</w:t>
            </w:r>
          </w:p>
          <w:p>
            <w:pPr>
              <w:pStyle w:val="42"/>
              <w:numPr>
                <w:ilvl w:val="0"/>
                <w:numId w:val="2"/>
              </w:numPr>
              <w:shd w:val="clear" w:color="auto" w:fill="FFFFFF"/>
              <w:spacing w:after="0"/>
              <w:jc w:val="both"/>
              <w:rPr>
                <w:rFonts w:eastAsia="Times New Roman" w:cs="Times New Roman"/>
                <w:color w:val="4A4A4A"/>
                <w:sz w:val="21"/>
                <w:szCs w:val="21"/>
                <w:lang w:val="en-US" w:eastAsia="en-GB"/>
              </w:rPr>
            </w:pPr>
            <w:r>
              <w:rPr>
                <w:rFonts w:eastAsia="Times New Roman" w:cs="Times New Roman"/>
                <w:color w:val="4A4A4A"/>
                <w:sz w:val="21"/>
                <w:szCs w:val="21"/>
                <w:lang w:val="en-US" w:eastAsia="en-GB"/>
              </w:rPr>
              <w:t>Children age 24 to 29 months are classified as developmentally on-track if they have achieved at least 7 milestones;</w:t>
            </w:r>
          </w:p>
          <w:p>
            <w:pPr>
              <w:pStyle w:val="42"/>
              <w:numPr>
                <w:ilvl w:val="0"/>
                <w:numId w:val="2"/>
              </w:numPr>
              <w:shd w:val="clear" w:color="auto" w:fill="FFFFFF"/>
              <w:spacing w:after="0"/>
              <w:jc w:val="both"/>
              <w:rPr>
                <w:rFonts w:eastAsia="Times New Roman" w:cs="Times New Roman"/>
                <w:color w:val="4A4A4A"/>
                <w:sz w:val="21"/>
                <w:szCs w:val="21"/>
                <w:lang w:val="en-US" w:eastAsia="en-GB"/>
              </w:rPr>
            </w:pPr>
            <w:r>
              <w:rPr>
                <w:rFonts w:eastAsia="Times New Roman" w:cs="Times New Roman"/>
                <w:color w:val="4A4A4A"/>
                <w:sz w:val="21"/>
                <w:szCs w:val="21"/>
                <w:lang w:val="en-US" w:eastAsia="en-GB"/>
              </w:rPr>
              <w:t>Children age 30 to 35 months are classified as developmentally on-track if they have achieved at least 9 milestones;</w:t>
            </w:r>
          </w:p>
          <w:p>
            <w:pPr>
              <w:pStyle w:val="42"/>
              <w:numPr>
                <w:ilvl w:val="0"/>
                <w:numId w:val="2"/>
              </w:numPr>
              <w:shd w:val="clear" w:color="auto" w:fill="FFFFFF"/>
              <w:spacing w:after="0"/>
              <w:jc w:val="both"/>
              <w:rPr>
                <w:rFonts w:eastAsia="Times New Roman" w:cs="Times New Roman"/>
                <w:color w:val="4A4A4A"/>
                <w:sz w:val="21"/>
                <w:szCs w:val="21"/>
                <w:lang w:val="en-US" w:eastAsia="en-GB"/>
              </w:rPr>
            </w:pPr>
            <w:r>
              <w:rPr>
                <w:rFonts w:eastAsia="Times New Roman" w:cs="Times New Roman"/>
                <w:color w:val="4A4A4A"/>
                <w:sz w:val="21"/>
                <w:szCs w:val="21"/>
                <w:lang w:val="en-US" w:eastAsia="en-GB"/>
              </w:rPr>
              <w:t>Children age 36 to 41 months are classified as developmentally on-track if they have achieved at least 11 milestones;</w:t>
            </w:r>
          </w:p>
          <w:p>
            <w:pPr>
              <w:pStyle w:val="42"/>
              <w:numPr>
                <w:ilvl w:val="0"/>
                <w:numId w:val="2"/>
              </w:numPr>
              <w:shd w:val="clear" w:color="auto" w:fill="FFFFFF"/>
              <w:spacing w:after="0"/>
              <w:jc w:val="both"/>
              <w:rPr>
                <w:rFonts w:eastAsia="Times New Roman" w:cs="Times New Roman"/>
                <w:color w:val="4A4A4A"/>
                <w:sz w:val="21"/>
                <w:szCs w:val="21"/>
                <w:lang w:val="en-US" w:eastAsia="en-GB"/>
              </w:rPr>
            </w:pPr>
            <w:r>
              <w:rPr>
                <w:rFonts w:eastAsia="Times New Roman" w:cs="Times New Roman"/>
                <w:color w:val="4A4A4A"/>
                <w:sz w:val="21"/>
                <w:szCs w:val="21"/>
                <w:lang w:val="en-US" w:eastAsia="en-GB"/>
              </w:rPr>
              <w:t>Children age 42 to 47 months are classified as developmentally on-track if they have achieved at least 13 milestones;</w:t>
            </w:r>
          </w:p>
          <w:p>
            <w:pPr>
              <w:pStyle w:val="42"/>
              <w:numPr>
                <w:ilvl w:val="0"/>
                <w:numId w:val="2"/>
              </w:numPr>
              <w:shd w:val="clear" w:color="auto" w:fill="FFFFFF"/>
              <w:spacing w:after="0"/>
              <w:jc w:val="both"/>
              <w:rPr>
                <w:rFonts w:eastAsia="Times New Roman" w:cs="Times New Roman"/>
                <w:color w:val="4A4A4A"/>
                <w:sz w:val="21"/>
                <w:szCs w:val="21"/>
                <w:lang w:val="en-US" w:eastAsia="en-GB"/>
              </w:rPr>
            </w:pPr>
            <w:r>
              <w:rPr>
                <w:rFonts w:eastAsia="Times New Roman" w:cs="Times New Roman"/>
                <w:color w:val="4A4A4A"/>
                <w:sz w:val="21"/>
                <w:szCs w:val="21"/>
                <w:lang w:val="en-US" w:eastAsia="en-GB"/>
              </w:rPr>
              <w:t xml:space="preserve">Children age 48 to 59 months are classified as developmentally on-track if they have achieved at least 15 milestones. </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pStyle w:val="34"/>
            </w:pPr>
            <w:r>
              <w:t>Proportion</w:t>
            </w:r>
          </w:p>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ascii="Sitka Subheading" w:hAnsi="Sitka Subheading" w:cs="Arial"/>
                <w:bCs/>
                <w:i/>
                <w:sz w:val="20"/>
                <w:szCs w:val="20"/>
              </w:rPr>
            </w:pPr>
            <w:r>
              <w:rPr>
                <w:rFonts w:ascii="Sitka Subheading" w:hAnsi="Sitka Subheading" w:cs="Arial"/>
                <w:bCs/>
                <w:i/>
                <w:sz w:val="20"/>
                <w:szCs w:val="20"/>
              </w:rPr>
              <w:t>2011 and 2018 Ghana MICS</w:t>
            </w:r>
          </w:p>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Early childhood development (ECD) sets the stage for life-long thriving. Investing in ECD is one of the most critical and cost-effective investments a country can make to improve adult health, education and productivity in order to build human capital and promote sustainable development. ECD is equity from the start and provides a good indication of national development. Efforts to improve ECD can bring about human, social and economic improvements for both individuals and societies.</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ymbol">
    <w:panose1 w:val="05050102010706020507"/>
    <w:charset w:val="02"/>
    <w:family w:val="roman"/>
    <w:pitch w:val="default"/>
    <w:sig w:usb0="00000000" w:usb1="00000000" w:usb2="00000000" w:usb3="00000000" w:csb0="80000000" w:csb1="00000000"/>
  </w:font>
  <w:font w:name="Sitka Sub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50E35837"/>
    <w:multiLevelType w:val="multilevel"/>
    <w:tmpl w:val="50E35837"/>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abstractNum w:abstractNumId="1">
    <w:nsid w:val="52CB087B"/>
    <w:multiLevelType w:val="multilevel"/>
    <w:tmpl w:val="52CB087B"/>
    <w:lvl w:ilvl="0" w:tentative="0">
      <w:start w:val="1"/>
      <w:numFmt w:val="bullet"/>
      <w:lvlText w:val=""/>
      <w:lvlJc w:val="left"/>
      <w:pPr>
        <w:ind w:left="720" w:hanging="360"/>
      </w:pPr>
      <w:rPr>
        <w:rFonts w:hint="default" w:ascii="Symbol" w:hAnsi="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rPr>
    </w:lvl>
    <w:lvl w:ilvl="3" w:tentative="0">
      <w:start w:val="1"/>
      <w:numFmt w:val="bullet"/>
      <w:lvlText w:val=""/>
      <w:lvlJc w:val="left"/>
      <w:pPr>
        <w:ind w:left="2880" w:hanging="360"/>
      </w:pPr>
      <w:rPr>
        <w:rFonts w:hint="default" w:ascii="Symbol" w:hAnsi="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rPr>
    </w:lvl>
    <w:lvl w:ilvl="6" w:tentative="0">
      <w:start w:val="1"/>
      <w:numFmt w:val="bullet"/>
      <w:lvlText w:val=""/>
      <w:lvlJc w:val="left"/>
      <w:pPr>
        <w:ind w:left="5040" w:hanging="360"/>
      </w:pPr>
      <w:rPr>
        <w:rFonts w:hint="default" w:ascii="Symbol" w:hAnsi="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A766C"/>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3A8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A67739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numbering" Target="numbering.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E192F"/>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215699</Words>
  <Characters>1229488</Characters>
  <Lines>10245</Lines>
  <Paragraphs>2884</Paragraphs>
  <TotalTime>4</TotalTime>
  <ScaleCrop>false</ScaleCrop>
  <LinksUpToDate>false</LinksUpToDate>
  <CharactersWithSpaces>1442303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2021-11-02T13:59:00Z</dcterms:created>
  <dc:creator>Fanning, Stephen B (JMD)</dc:creator>
  <cp:lastModifiedBy>origi</cp:lastModifiedBy>
  <cp:lastPrinted>2020-04-16T14:23:00Z</cp:lastPrinted>
  <dcterms:modified xsi:type="dcterms:W3CDTF">2022-09-20T09:00:09Z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78E7DFF25FE7492E94DB4D7C59FBDF9E</vt:lpwstr>
  </property>
</Properties>
</file>