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7932743"/>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"https://sustainabledevelopment-ghana.github.io/quality-education" </w:instrText>
            </w:r>
            <w:r>
              <w:fldChar w:fldCharType="separate"/>
            </w:r>
            <w:r>
              <w:rPr>
                <w:rStyle w:val="53"/>
                <w:rFonts w:asciiTheme="minorHAnsi" w:hAnsiTheme="minorHAnsi" w:cstheme="minorHAnsi"/>
                <w:color w:val="auto"/>
                <w:sz w:val="22"/>
                <w:szCs w:val="22"/>
              </w:rPr>
              <w:t xml:space="preserve">Goal 4: </w:t>
            </w:r>
            <w:r>
              <w:rPr>
                <w:rStyle w:val="18"/>
                <w:rFonts w:asciiTheme="minorHAnsi" w:hAnsiTheme="minorHAnsi" w:cstheme="minorHAnsi"/>
                <w:color w:val="auto"/>
                <w:sz w:val="22"/>
                <w:szCs w:val="22"/>
                <w:u w:val="none"/>
              </w:rPr>
              <w:t xml:space="preserve">Ensure inclusive and equitable quality education and promote lifelong learning opportunities for all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t>Target 4.5: By 2030, eliminate gender disparities in education and ensure equal access to all levels of education and vocational training for the vulnerable, including persons with disabilities, indigenous peoples and children in vulnerable situations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4.5.1: Parity indices (female/male, rural/urban, bottom/top wealth quintile and others such as disability status, indigenous peoples and conflict-affected, as data become available) for all education indicators on this list that can be disaggregated</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r>
              <w:t>All equity targets and targets associated with the underlying indicators.</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color w:val="4A4A4A"/>
              </w:rPr>
            </w:pPr>
            <w:r>
              <w:t>UNESCO Institute for Statistics (UNESCO-UIS)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Education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Index</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Arial" w:cstheme="minorHAnsi"/>
                <w:bCs/>
                <w:color w:val="000000" w:themeColor="text1"/>
                <w14:textFill>
                  <w14:solidFill>
                    <w14:schemeClr w14:val="tx1"/>
                  </w14:solidFill>
                </w14:textFill>
              </w:rPr>
              <w:t>EMIS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Education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7932747"/>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Times New Roman" w:hAnsi="Times New Roman" w:eastAsia="SimSun" w:cs="Times New Roman"/>
                <w:i w:val="0"/>
                <w:iCs w:val="0"/>
                <w:caps w:val="0"/>
                <w:color w:val="000000"/>
                <w:spacing w:val="0"/>
                <w:sz w:val="27"/>
                <w:szCs w:val="27"/>
              </w:rPr>
              <w:t>To measure the general level of disparity between two sub-populations of interest with regard to a given indicator. The further from 1 the parity index lies, the greater the disparity between the two groups of interest.</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576"/>
            <w:bookmarkStart w:id="28" w:name="_Toc36655613"/>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1BFB"/>
    <w:rsid w:val="003A3746"/>
    <w:rsid w:val="003B1388"/>
    <w:rsid w:val="003B3C76"/>
    <w:rsid w:val="003E117E"/>
    <w:rsid w:val="003E1761"/>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1C14A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215477</Words>
  <Characters>1228225</Characters>
  <Lines>10235</Lines>
  <Paragraphs>2881</Paragraphs>
  <TotalTime>1</TotalTime>
  <ScaleCrop>false</ScaleCrop>
  <LinksUpToDate>false</LinksUpToDate>
  <CharactersWithSpaces>1440821</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2021-10-18T12:41:00Z</dcterms:created>
  <dc:creator>Fanning, Stephen B (JMD)</dc:creator>
  <cp:lastModifiedBy>origi</cp:lastModifiedBy>
  <cp:lastPrinted>2020-04-16T14:23:00Z</cp:lastPrinted>
  <dcterms:modified xsi:type="dcterms:W3CDTF">2022-09-20T09:14:32Z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EE80FA83103D485FB30E7ACE9936D76A</vt:lpwstr>
  </property>
</Properties>
</file>