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5.3.2 Proportion of girls and women aged 15-49 years who have undergone female genital mutilation/cutting [5.3.2] (SH_STA_FGMS)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Female genital mutilation or cutting (FGM/C) refers to all procedures involving partial or total removal of the female external genitalia or other injury to the female genital organs for non-medical reasons (World Health Organization, Eliminating Female Genital Mutilation. An inter</w:t>
            </w:r>
            <w:r>
              <w:rPr>
                <w:rFonts w:hint="default"/>
                <w:lang w:val="en-CA"/>
              </w:rPr>
              <w:t>-</w:t>
            </w:r>
            <w:r>
              <w:t>agency statement, WHO, UNFPA, UNICEF, UNIFEM, OHCHR, UNHCR, UNECA, UNESCO, UNDP, UNAIDS, WHO, Geneva, 2008, p.4)</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
              <w:rPr>
                <w:rFonts w:asciiTheme="minorHAnsi" w:hAnsiTheme="minorHAnsi" w:cstheme="minorHAnsi"/>
                <w:color w:val="auto"/>
                <w:sz w:val="22"/>
                <w:szCs w:val="22"/>
              </w:rPr>
            </w:pPr>
            <w:r>
              <w:fldChar w:fldCharType="begin"/>
            </w:r>
            <w:r>
              <w:instrText xml:space="preserve"> HYPERLINK "https://sustainabledevelopment-ghana.github.io/gender-equality" </w:instrText>
            </w:r>
            <w:r>
              <w:fldChar w:fldCharType="separate"/>
            </w:r>
            <w:r>
              <w:rPr>
                <w:rStyle w:val="53"/>
                <w:rFonts w:asciiTheme="minorHAnsi" w:hAnsiTheme="minorHAnsi" w:cstheme="minorHAnsi"/>
                <w:color w:val="auto"/>
                <w:sz w:val="22"/>
                <w:szCs w:val="22"/>
              </w:rPr>
              <w:t xml:space="preserve">Goal 5: </w:t>
            </w:r>
            <w:r>
              <w:rPr>
                <w:rStyle w:val="18"/>
                <w:rFonts w:asciiTheme="minorHAnsi" w:hAnsiTheme="minorHAnsi" w:cstheme="minorHAnsi"/>
                <w:color w:val="auto"/>
                <w:sz w:val="22"/>
                <w:szCs w:val="22"/>
                <w:u w:val="none"/>
              </w:rPr>
              <w:t xml:space="preserve">Achieve gender equality and empower all women and girls </w:t>
            </w:r>
            <w:r>
              <w:rPr>
                <w:rStyle w:val="18"/>
                <w:rFonts w:asciiTheme="minorHAnsi" w:hAnsiTheme="minorHAnsi" w:cstheme="minorHAnsi"/>
                <w:color w:val="auto"/>
                <w:sz w:val="22"/>
                <w:szCs w:val="22"/>
                <w:u w:val="none"/>
              </w:rPr>
              <w:fldChar w:fldCharType="end"/>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5.3: Eliminate all harmful practices, such as child, early and forced marriage and female genital mutilation</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5.3.2: Proportion of girls and women aged 15-49 years who have undergone female genital mutilation/cutting, by age</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 xml:space="preserve">The prevalence of female genital mutilation can be interpreted alongside other indicators about women’s well-being, including those on women’s health under Goal 3, those on the status of women under Goal 5, and those around violence against women under Goal 16.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United Nations Children's Fund (UNICEF)</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pPr>
            <w:r>
              <w:t xml:space="preserve"> Definition:</w:t>
            </w:r>
          </w:p>
          <w:p>
            <w:pPr>
              <w:pStyle w:val="34"/>
            </w:pPr>
          </w:p>
          <w:p>
            <w:pPr>
              <w:pStyle w:val="34"/>
            </w:pPr>
            <w:r>
              <w:t>Proportion of girls and women aged 15-49 years who have undergone female genital mutilation.</w:t>
            </w:r>
          </w:p>
          <w:p>
            <w:pPr>
              <w:pStyle w:val="34"/>
            </w:pPr>
          </w:p>
          <w:p>
            <w:pPr>
              <w:pStyle w:val="34"/>
            </w:pPr>
            <w:r>
              <w:t>This indicator can be measured among smaller age groups, with the experience of younger women representing FGM/C that has occurred more recently and the experience of older women representing levels of the practice in the past. At the regional and global level, this indicator is currently being reported as the proportion of adolescent girls aged 15-19 years who have undergone female genital mutilation.</w:t>
            </w:r>
          </w:p>
          <w:p>
            <w:pPr>
              <w:pStyle w:val="34"/>
            </w:pPr>
          </w:p>
          <w:p>
            <w:pPr>
              <w:pStyle w:val="34"/>
            </w:pPr>
            <w:r>
              <w:t>Concepts:</w:t>
            </w:r>
          </w:p>
          <w:p>
            <w:pPr>
              <w:pStyle w:val="34"/>
            </w:pPr>
          </w:p>
          <w:p>
            <w:pPr>
              <w:pStyle w:val="34"/>
            </w:pPr>
            <w:r>
              <w:t>Female genital mutilation (FGM) refers to “all procedures involving partial or total removal of the female external genitalia or other injury to the female genital organs for non-medical reasons" (World Health Organization, Eliminating Female Genital Mutilation: An interagency statement, WHO, UNFPA, UNICEF, UNIFEM, OHCHR, UNHCR, UNECA, UNESCO, UNDP, UNAIDS, WHO, Geneva, 2008, p.4)</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hint="default" w:eastAsia="Calibri" w:cstheme="minorHAnsi"/>
                <w:bCs/>
                <w:shd w:val="clear" w:color="auto" w:fill="FFFFFF"/>
                <w:lang w:val="en-CA"/>
              </w:rPr>
            </w:pPr>
            <w:r>
              <w:rPr>
                <w:rFonts w:eastAsia="Calibri" w:cstheme="minorHAnsi"/>
                <w:bCs/>
                <w:shd w:val="clear" w:color="auto" w:fill="FFFFFF"/>
              </w:rPr>
              <w:t>2011 and 2018 Ghana M</w:t>
            </w:r>
            <w:r>
              <w:rPr>
                <w:rFonts w:hint="default" w:eastAsia="Calibri" w:cstheme="minorHAnsi"/>
                <w:bCs/>
                <w:shd w:val="clear" w:color="auto" w:fill="FFFFFF"/>
                <w:lang w:val="en-CA"/>
              </w:rPr>
              <w:t xml:space="preserve">ultiple </w:t>
            </w:r>
            <w:r>
              <w:rPr>
                <w:rFonts w:eastAsia="Calibri" w:cstheme="minorHAnsi"/>
                <w:bCs/>
                <w:shd w:val="clear" w:color="auto" w:fill="FFFFFF"/>
              </w:rPr>
              <w:t>I</w:t>
            </w:r>
            <w:r>
              <w:rPr>
                <w:rFonts w:hint="default" w:eastAsia="Calibri" w:cstheme="minorHAnsi"/>
                <w:bCs/>
                <w:shd w:val="clear" w:color="auto" w:fill="FFFFFF"/>
                <w:lang w:val="en-CA"/>
              </w:rPr>
              <w:t xml:space="preserve">ndicator </w:t>
            </w:r>
            <w:r>
              <w:rPr>
                <w:rFonts w:eastAsia="Calibri" w:cstheme="minorHAnsi"/>
                <w:bCs/>
                <w:shd w:val="clear" w:color="auto" w:fill="FFFFFF"/>
              </w:rPr>
              <w:t>C</w:t>
            </w:r>
            <w:r>
              <w:rPr>
                <w:rFonts w:hint="default" w:eastAsia="Calibri" w:cstheme="minorHAnsi"/>
                <w:bCs/>
                <w:shd w:val="clear" w:color="auto" w:fill="FFFFFF"/>
                <w:lang w:val="en-CA"/>
              </w:rPr>
              <w:t xml:space="preserve">luster </w:t>
            </w:r>
            <w:r>
              <w:rPr>
                <w:rFonts w:eastAsia="Calibri" w:cstheme="minorHAnsi"/>
                <w:bCs/>
                <w:shd w:val="clear" w:color="auto" w:fill="FFFFFF"/>
              </w:rPr>
              <w:t>S</w:t>
            </w:r>
            <w:r>
              <w:rPr>
                <w:rFonts w:hint="default" w:eastAsia="Calibri" w:cstheme="minorHAnsi"/>
                <w:bCs/>
                <w:shd w:val="clear" w:color="auto" w:fill="FFFFFF"/>
                <w:lang w:val="en-CA"/>
              </w:rPr>
              <w:t>urvey (MICS)</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FGM is a violation of girls’ and women’s human rights. There is a large body of literature documenting the adverse health consequences of FGM over both the short and long term. The practice of FGM is a direct manifestation of gender inequality FGM is condemned by a number of international treaties and conventions. Since FGM is regarded as a traditional practice prejudicial to the health of children and is, in most cases, performed on minors, it violates the Convention on the Rights of the Child. Existing national legislation in </w:t>
            </w:r>
            <w:r>
              <w:rPr>
                <w:rFonts w:hint="default"/>
                <w:lang w:val="en-CA"/>
              </w:rPr>
              <w:t>Ghana</w:t>
            </w:r>
            <w:r>
              <w:t xml:space="preserve"> also include explicit bans against FGM.</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girls and women aged 15-49 who have undergone FGM/C divided by the total number of girls and women aged 15-49 in the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7655A0B"/>
    <w:rsid w:val="64636C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215690</Words>
  <Characters>1229434</Characters>
  <Lines>10245</Lines>
  <Paragraphs>2884</Paragraphs>
  <TotalTime>3</TotalTime>
  <ScaleCrop>false</ScaleCrop>
  <LinksUpToDate>false</LinksUpToDate>
  <CharactersWithSpaces>1442240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2021-10-18T13:06:00Z</dcterms:created>
  <dc:creator>Fanning, Stephen B (JMD)</dc:creator>
  <cp:lastModifiedBy>Doreen</cp:lastModifiedBy>
  <cp:lastPrinted>2020-04-16T14:23:00Z</cp:lastPrinted>
  <dcterms:modified xsi:type="dcterms:W3CDTF">2022-09-18T15:07:50Z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DA65760B5A2A4E7E85C1EA7FEF301E92</vt:lpwstr>
  </property>
</Properties>
</file>