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t>0.0.0 National series not in global framework (_)</w:t>
          </w:r>
          <w:bookmarkEnd w:id="1"/>
        </w:p>
      </w:sdtContent>
    </w:sdt>
    <w:perm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joinstyle="miter"/>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joinstyle="miter"/>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40.25pt;" o:ole="t" filled="f" o:preferrelative="t" stroked="f" coordsize="21600,21600">
            <v:path/>
            <v:fill on="f" focussize="0,0"/>
            <v:stroke on="f" joinstyle="miter"/>
            <v:imagedata r:id="rId13" o:title=""/>
            <o:lock v:ext="edit" aspectratio="t"/>
            <w10:wrap type="none"/>
            <w10:anchorlock/>
          </v:shape>
          <w:control r:id="rId12" w:name="ImportSdmxDsd" w:shapeid="_x0000_i1027"/>
        </w:object>
      </w:r>
      <w:r>
        <w:t xml:space="preserve">             </w:t>
      </w:r>
      <w:r>
        <w:object>
          <v:shape id="_x0000_i1028" o:spt="201" type="#_x0000_t201" style="height:24pt;width:200.25pt;" o:ole="t" filled="f" o:preferrelative="t" stroked="f" coordsize="21600,21600">
            <v:path/>
            <v:fill on="f" focussize="0,0"/>
            <v:stroke on="f" joinstyle="miter"/>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2571"/>
            <w:bookmarkStart w:id="4" w:name="_Toc36813071"/>
            <w:bookmarkStart w:id="5" w:name="_Toc37932743"/>
            <w:bookmarkStart w:id="6" w:name="_Toc36812684"/>
            <w:bookmarkStart w:id="7" w:name="_Toc36655608"/>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pStyle w:val="29"/>
            </w:pPr>
            <w:r>
              <w:t>Goal 5: Achieve gender equality and empower all women and girls</w:t>
            </w:r>
          </w:p>
        </w:tc>
      </w:tr>
      <w:permEnd w:id="5"/>
      <w:t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pStyle w:val="29"/>
            </w:pPr>
            <w:r>
              <w:t>Target 5.5: Ensure women’s full and effective participation and equal opportunities for leadership at all levels of decision-making in political, economic and public life</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pStyle w:val="29"/>
            </w:pPr>
            <w:r>
              <w:t>Indicator 5.5.1: Proportion of seats held by women in (a) national parliaments and (b) local governments</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pPr>
              <w:pStyle w:val="29"/>
            </w:pPr>
            <w:r>
              <w:t>Number of seats held by women in national parliaments (number) SG_GEN_PARLN</w:t>
            </w:r>
          </w:p>
          <w:p>
            <w:pPr>
              <w:pStyle w:val="29"/>
            </w:pPr>
            <w:r>
              <w:t>Current number of seats in national parliaments (number) SG_GEN_PARLNT</w:t>
            </w:r>
          </w:p>
          <w:p>
            <w:pPr>
              <w:pStyle w:val="29"/>
            </w:pPr>
            <w:r>
              <w:t>Proportion of seats held by women in national parliaments (% of total number of seats) SG_GEN_PARL</w:t>
            </w: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2022-9-13</w:t>
            </w:r>
          </w:p>
        </w:tc>
      </w:tr>
      <w:permEnd w:id="9"/>
      <w:tr>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pStyle w:val="29"/>
            </w:pPr>
            <w:r>
              <w:t>Indicator 16.7.1: Proportions of positions (by age group, sex, persons with disabilities and population groups) in public institutions (national and local), including (a) the legislatures; (b) the public service; and (c) the judiciary, compared to national distributions.</w:t>
            </w: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pStyle w:val="29"/>
            </w:pPr>
            <w:r>
              <w:t>Inter-Parliamentary Union (IPU)</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655609"/>
            <w:bookmarkStart w:id="9" w:name="_Toc36812572"/>
            <w:bookmarkStart w:id="10" w:name="_Toc37932744"/>
            <w:bookmarkStart w:id="11" w:name="_Toc36813072"/>
            <w:bookmarkStart w:id="12" w:name="_Toc36812685"/>
            <w:r>
              <w:rPr>
                <w:sz w:val="32"/>
                <w:szCs w:val="32"/>
              </w:rPr>
              <w:t>1. Data reporter</w:t>
            </w:r>
            <w:bookmarkEnd w:id="8"/>
            <w:bookmarkEnd w:id="9"/>
            <w:bookmarkEnd w:id="10"/>
            <w:bookmarkEnd w:id="11"/>
            <w:bookmarkEnd w:id="12"/>
          </w:p>
        </w:tc>
      </w:tr>
      <w:tr>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Ghana Statistical Service (GSS)</w:t>
            </w: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655610"/>
            <w:bookmarkStart w:id="14" w:name="_Toc37932745"/>
            <w:bookmarkStart w:id="15" w:name="_Toc36812686"/>
            <w:bookmarkStart w:id="16" w:name="_Toc36812573"/>
            <w:bookmarkStart w:id="17" w:name="_Toc36813073"/>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pStyle w:val="34"/>
              <w:rPr>
                <w:b/>
                <w:bCs/>
              </w:rPr>
            </w:pPr>
            <w:r>
              <w:rPr>
                <w:b/>
                <w:bCs/>
              </w:rPr>
              <w:t>Definition:</w:t>
            </w:r>
          </w:p>
          <w:p>
            <w:pPr>
              <w:pStyle w:val="34"/>
            </w:pPr>
            <w:r>
              <w:t>The proportion of seats held by women in (a) national parliaments, currently as at 1 January of reporting year, is currently measured as the number of seats held by women members in single or lower chambers of national parliaments, expressed as a percentage of all occupied seats.</w:t>
            </w:r>
          </w:p>
          <w:p>
            <w:pPr>
              <w:pStyle w:val="34"/>
            </w:pPr>
          </w:p>
          <w:p>
            <w:pPr>
              <w:pStyle w:val="34"/>
            </w:pPr>
            <w:r>
              <w:t>National parliaments can be bicameral or unicameral. This indicator covers the single chamber in unicameral parliaments and the lower chamber in bicameral parliaments. It does not cover the upper chamber of bicameral parliaments. Seats are usually won by members in general parliamentary elections. Seats may also be filled by nomination, appointment, indirect election, rotation of members and by-election.</w:t>
            </w:r>
          </w:p>
          <w:p>
            <w:pPr>
              <w:pStyle w:val="34"/>
            </w:pPr>
          </w:p>
          <w:p>
            <w:pPr>
              <w:pStyle w:val="34"/>
            </w:pPr>
            <w:r>
              <w:t>Seats refer to the number of parliamentary mandates, or the number of members of parliament.</w:t>
            </w:r>
          </w:p>
          <w:p>
            <w:pPr>
              <w:pStyle w:val="34"/>
            </w:pPr>
          </w:p>
          <w:p>
            <w:pPr>
              <w:pStyle w:val="34"/>
              <w:rPr>
                <w:b/>
                <w:bCs/>
              </w:rPr>
            </w:pPr>
            <w:r>
              <w:rPr>
                <w:b/>
                <w:bCs/>
              </w:rPr>
              <w:t>Concepts:</w:t>
            </w:r>
          </w:p>
          <w:p>
            <w:pPr>
              <w:pStyle w:val="34"/>
            </w:pPr>
            <w:r>
              <w:t>Seats refer to the number of parliamentary mandates, also known as the number of members of parliament. Seats are usually won by members in general parliamentary elections. Seats may also be filled by nomination, appointment, indirect election, rotation of members and by-election.</w:t>
            </w:r>
          </w:p>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r>
              <w:t>Number</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hint="default" w:cs="Showcard Gothic" w:asciiTheme="minorAscii" w:hAnsiTheme="minorAscii"/>
                <w:bCs/>
                <w:i w:val="0"/>
                <w:iCs/>
                <w:sz w:val="22"/>
                <w:szCs w:val="22"/>
              </w:rPr>
            </w:pPr>
            <w:r>
              <w:rPr>
                <w:rFonts w:hint="default" w:cs="Showcard Gothic" w:asciiTheme="minorAscii" w:hAnsiTheme="minorAscii"/>
                <w:bCs/>
                <w:i w:val="0"/>
                <w:iCs/>
                <w:sz w:val="22"/>
                <w:szCs w:val="22"/>
              </w:rPr>
              <w:t xml:space="preserve">Parliamentary records, 2020 </w:t>
            </w:r>
          </w:p>
          <w:p>
            <w:r>
              <w:rPr>
                <w:rFonts w:hint="default" w:cs="Showcard Gothic" w:asciiTheme="minorAscii" w:hAnsiTheme="minorAscii"/>
                <w:bCs/>
                <w:i w:val="0"/>
                <w:iCs/>
                <w:sz w:val="22"/>
                <w:szCs w:val="22"/>
              </w:rPr>
              <w:t>M</w:t>
            </w:r>
            <w:r>
              <w:rPr>
                <w:rFonts w:hint="default" w:cs="Showcard Gothic" w:asciiTheme="minorAscii" w:hAnsiTheme="minorAscii"/>
                <w:bCs/>
                <w:i w:val="0"/>
                <w:iCs/>
                <w:sz w:val="22"/>
                <w:szCs w:val="22"/>
                <w:lang w:val="en-CA"/>
              </w:rPr>
              <w:t xml:space="preserve">inistry of </w:t>
            </w:r>
            <w:r>
              <w:rPr>
                <w:rFonts w:hint="default" w:cs="Showcard Gothic" w:asciiTheme="minorAscii" w:hAnsiTheme="minorAscii"/>
                <w:bCs/>
                <w:i w:val="0"/>
                <w:iCs/>
                <w:sz w:val="22"/>
                <w:szCs w:val="22"/>
              </w:rPr>
              <w:t>L</w:t>
            </w:r>
            <w:r>
              <w:rPr>
                <w:rFonts w:hint="default" w:cs="Showcard Gothic" w:asciiTheme="minorAscii" w:hAnsiTheme="minorAscii"/>
                <w:bCs/>
                <w:i w:val="0"/>
                <w:iCs/>
                <w:sz w:val="22"/>
                <w:szCs w:val="22"/>
                <w:lang w:val="en-CA"/>
              </w:rPr>
              <w:t xml:space="preserve">ocal </w:t>
            </w:r>
            <w:r>
              <w:rPr>
                <w:rFonts w:hint="default" w:cs="Showcard Gothic" w:asciiTheme="minorAscii" w:hAnsiTheme="minorAscii"/>
                <w:bCs/>
                <w:i w:val="0"/>
                <w:iCs/>
                <w:sz w:val="22"/>
                <w:szCs w:val="22"/>
              </w:rPr>
              <w:t>G</w:t>
            </w:r>
            <w:r>
              <w:rPr>
                <w:rFonts w:hint="default" w:cs="Showcard Gothic" w:asciiTheme="minorAscii" w:hAnsiTheme="minorAscii"/>
                <w:bCs/>
                <w:i w:val="0"/>
                <w:iCs/>
                <w:sz w:val="22"/>
                <w:szCs w:val="22"/>
                <w:lang w:val="en-CA"/>
              </w:rPr>
              <w:t xml:space="preserve">overnment and </w:t>
            </w:r>
            <w:r>
              <w:rPr>
                <w:rFonts w:hint="default" w:cs="Showcard Gothic" w:asciiTheme="minorAscii" w:hAnsiTheme="minorAscii"/>
                <w:bCs/>
                <w:i w:val="0"/>
                <w:iCs/>
                <w:sz w:val="22"/>
                <w:szCs w:val="22"/>
              </w:rPr>
              <w:t>R</w:t>
            </w:r>
            <w:r>
              <w:rPr>
                <w:rFonts w:hint="default" w:cs="Showcard Gothic" w:asciiTheme="minorAscii" w:hAnsiTheme="minorAscii"/>
                <w:bCs/>
                <w:i w:val="0"/>
                <w:iCs/>
                <w:sz w:val="22"/>
                <w:szCs w:val="22"/>
                <w:lang w:val="en-CA"/>
              </w:rPr>
              <w:t xml:space="preserve">ural </w:t>
            </w:r>
            <w:r>
              <w:rPr>
                <w:rFonts w:hint="default" w:cs="Showcard Gothic" w:asciiTheme="minorAscii" w:hAnsiTheme="minorAscii"/>
                <w:bCs/>
                <w:i w:val="0"/>
                <w:iCs/>
                <w:sz w:val="22"/>
                <w:szCs w:val="22"/>
              </w:rPr>
              <w:t>D</w:t>
            </w:r>
            <w:r>
              <w:rPr>
                <w:rFonts w:hint="default" w:cs="Showcard Gothic" w:asciiTheme="minorAscii" w:hAnsiTheme="minorAscii"/>
                <w:bCs/>
                <w:i w:val="0"/>
                <w:iCs/>
                <w:sz w:val="22"/>
                <w:szCs w:val="22"/>
                <w:lang w:val="en-CA"/>
              </w:rPr>
              <w:t>evelopment (MLGRD)</w:t>
            </w:r>
            <w:r>
              <w:rPr>
                <w:rFonts w:hint="default" w:cs="Showcard Gothic" w:asciiTheme="minorAscii" w:hAnsiTheme="minorAscii"/>
                <w:bCs/>
                <w:i w:val="0"/>
                <w:iCs/>
                <w:sz w:val="22"/>
                <w:szCs w:val="22"/>
              </w:rPr>
              <w:t xml:space="preserve"> APR 2019</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r>
              <w:t>The Ministry of Local Government and Rural Development</w:t>
            </w:r>
          </w:p>
          <w:p>
            <w:r>
              <w:t>Parliament Of Ghana</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GSS</w:t>
            </w: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bookmarkStart w:id="38" w:name="_GoBack"/>
            <w:bookmarkEnd w:id="38"/>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2688"/>
            <w:bookmarkStart w:id="21" w:name="_Toc36813075"/>
            <w:bookmarkStart w:id="22" w:name="_Toc36655612"/>
            <w:bookmarkStart w:id="23" w:name="_Toc36812575"/>
            <w:bookmarkStart w:id="24" w:name="_Toc37932747"/>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r>
              <w:t xml:space="preserve">The indicator measures the degree to which women have equal access to parliamentary decision making. Women’s participation in parliaments is a key aspect of women’s opportunities in political and public life, and is therefore linked to women’s empowerment. Equal numbers of women and men in lower chambers would give an indicator value of 50 per cent. A stronger presence of women in parliament allows new concerns to be highlighted on political agendas, and new priorities to be put into practice through the adoption and implementation of policies and laws. The inclusion of the perspectives and interests of women is a prerequisite for democracy and gender equality, and contributes to good governance. A representative parliament also allows the different experiences of men and women to affect the social, political and economic future of societies. Changes in the indicator have been tracked over time. Although the international community has supported and promoted women’s participation in political decision-making structures for several decades, improvement in women’s access to parliament has been slow. This has led to the introduction of special policy and legal measures to increase women’s shares of parliamentary seats in </w:t>
            </w:r>
            <w:r>
              <w:rPr>
                <w:rFonts w:hint="default"/>
                <w:lang w:val="en-CA"/>
              </w:rPr>
              <w:t>Ghana.</w:t>
            </w:r>
            <w:r>
              <w:t xml:space="preserve"> </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3076"/>
            <w:bookmarkStart w:id="26" w:name="_Toc37932748"/>
            <w:bookmarkStart w:id="27" w:name="_Toc36812576"/>
            <w:bookmarkStart w:id="28" w:name="_Toc36812689"/>
            <w:bookmarkStart w:id="29" w:name="_Toc36655613"/>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1"/>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5" w:name="_Toc37932753"/>
      <w:bookmarkStart w:id="36" w:name="Mapping"/>
      <w:r>
        <w:rPr>
          <w:sz w:val="28"/>
          <w:szCs w:val="28"/>
        </w:rPr>
        <w:t>B. Mapping of SDMX Detailed Concepts to IAEG-SDG File Format</w:t>
      </w:r>
      <w:bookmarkEnd w:id="35"/>
    </w:p>
    <w:bookmarkEnd w:id="36"/>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7" w:name="_Toc37932754"/>
      <w:r>
        <w:rPr>
          <w:sz w:val="28"/>
          <w:szCs w:val="28"/>
        </w:rPr>
        <w:t>C. Mapping of IAEG-SDG File Format to SDMX Detailed Concepts</w:t>
      </w:r>
      <w:bookmarkEnd w:id="37"/>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w:panose1 w:val="020F0502020204030204"/>
    <w:charset w:val="86"/>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Showcard Gothic">
    <w:panose1 w:val="04020904020102020604"/>
    <w:charset w:val="00"/>
    <w:family w:val="auto"/>
    <w:pitch w:val="default"/>
    <w:sig w:usb0="00000003" w:usb1="00000000" w:usb2="00000000" w:usb3="00000000" w:csb0="20000001"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261CA"/>
    <w:rsid w:val="002313D6"/>
    <w:rsid w:val="00232FF1"/>
    <w:rsid w:val="00235F8D"/>
    <w:rsid w:val="002525CC"/>
    <w:rsid w:val="002607BA"/>
    <w:rsid w:val="00266557"/>
    <w:rsid w:val="002806B7"/>
    <w:rsid w:val="0029558C"/>
    <w:rsid w:val="002A631A"/>
    <w:rsid w:val="002A6E7E"/>
    <w:rsid w:val="002C065D"/>
    <w:rsid w:val="002C550A"/>
    <w:rsid w:val="002E449E"/>
    <w:rsid w:val="002E6DA3"/>
    <w:rsid w:val="00316CFE"/>
    <w:rsid w:val="00317D5D"/>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3738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063D"/>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2C901A2B"/>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3"/>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6"/>
    <w:semiHidden/>
    <w:unhideWhenUsed/>
    <w:qFormat/>
    <w:uiPriority w:val="99"/>
    <w:pPr>
      <w:spacing w:line="240" w:lineRule="auto"/>
    </w:pPr>
    <w:rPr>
      <w:sz w:val="20"/>
      <w:szCs w:val="20"/>
    </w:rPr>
  </w:style>
  <w:style w:type="paragraph" w:styleId="9">
    <w:name w:val="annotation subject"/>
    <w:basedOn w:val="8"/>
    <w:next w:val="8"/>
    <w:link w:val="47"/>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49"/>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4"/>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1"/>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3"/>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qFormat/>
    <w:uiPriority w:val="39"/>
    <w:pPr>
      <w:spacing w:after="100"/>
    </w:pPr>
  </w:style>
  <w:style w:type="paragraph" w:styleId="23">
    <w:name w:val="toc 2"/>
    <w:basedOn w:val="1"/>
    <w:next w:val="1"/>
    <w:unhideWhenUsed/>
    <w:qFormat/>
    <w:uiPriority w:val="39"/>
    <w:pPr>
      <w:spacing w:after="100"/>
      <w:ind w:left="220"/>
    </w:pPr>
  </w:style>
  <w:style w:type="paragraph" w:styleId="24">
    <w:name w:val="toc 3"/>
    <w:basedOn w:val="1"/>
    <w:next w:val="1"/>
    <w:unhideWhenUsed/>
    <w:qFormat/>
    <w:uiPriority w:val="39"/>
    <w:pPr>
      <w:spacing w:after="100"/>
      <w:ind w:left="440"/>
    </w:pPr>
  </w:style>
  <w:style w:type="character" w:customStyle="1" w:styleId="25">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6">
    <w:name w:val="TOC Heading"/>
    <w:basedOn w:val="2"/>
    <w:next w:val="1"/>
    <w:unhideWhenUsed/>
    <w:qFormat/>
    <w:uiPriority w:val="39"/>
    <w:pPr>
      <w:outlineLvl w:val="9"/>
    </w:pPr>
  </w:style>
  <w:style w:type="character" w:customStyle="1" w:styleId="27">
    <w:name w:val="Title Char"/>
    <w:basedOn w:val="4"/>
    <w:link w:val="21"/>
    <w:qFormat/>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qFormat/>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qFormat/>
    <w:uiPriority w:val="0"/>
    <w:rPr>
      <w:rFonts w:eastAsia="Times New Roman" w:cs="Times New Roman"/>
      <w:color w:val="1C75BC"/>
      <w:shd w:val="clear" w:color="auto" w:fill="F5F5F5"/>
      <w:lang w:val="en-GB" w:eastAsia="en-GB"/>
    </w:rPr>
  </w:style>
  <w:style w:type="character" w:customStyle="1" w:styleId="33">
    <w:name w:val="Header Char"/>
    <w:basedOn w:val="4"/>
    <w:link w:val="17"/>
    <w:qFormat/>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qFormat/>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qFormat/>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qFormat/>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qFormat/>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qFormat/>
    <w:uiPriority w:val="99"/>
    <w:rPr>
      <w:rFonts w:ascii="Segoe UI" w:hAnsi="Segoe UI" w:cs="Segoe UI"/>
      <w:sz w:val="18"/>
      <w:szCs w:val="18"/>
    </w:rPr>
  </w:style>
  <w:style w:type="character" w:customStyle="1" w:styleId="44">
    <w:name w:val="Footer Char"/>
    <w:basedOn w:val="4"/>
    <w:link w:val="13"/>
    <w:qFormat/>
    <w:uiPriority w:val="99"/>
  </w:style>
  <w:style w:type="character" w:customStyle="1" w:styleId="45">
    <w:name w:val="Unresolved Mention1"/>
    <w:basedOn w:val="4"/>
    <w:semiHidden/>
    <w:unhideWhenUsed/>
    <w:qFormat/>
    <w:uiPriority w:val="99"/>
    <w:rPr>
      <w:color w:val="605E5C"/>
      <w:shd w:val="clear" w:color="auto" w:fill="E1DFDD"/>
    </w:rPr>
  </w:style>
  <w:style w:type="character" w:customStyle="1" w:styleId="46">
    <w:name w:val="Comment Text Char"/>
    <w:basedOn w:val="4"/>
    <w:link w:val="8"/>
    <w:semiHidden/>
    <w:qFormat/>
    <w:uiPriority w:val="99"/>
    <w:rPr>
      <w:sz w:val="20"/>
      <w:szCs w:val="20"/>
    </w:rPr>
  </w:style>
  <w:style w:type="character" w:customStyle="1" w:styleId="47">
    <w:name w:val="Comment Subject Char"/>
    <w:basedOn w:val="46"/>
    <w:link w:val="9"/>
    <w:semiHidden/>
    <w:qFormat/>
    <w:uiPriority w:val="99"/>
    <w:rPr>
      <w:b/>
      <w:bCs/>
      <w:sz w:val="20"/>
      <w:szCs w:val="20"/>
    </w:rPr>
  </w:style>
  <w:style w:type="character" w:styleId="48">
    <w:name w:val="Placeholder Text"/>
    <w:basedOn w:val="4"/>
    <w:semiHidden/>
    <w:qFormat/>
    <w:uiPriority w:val="99"/>
    <w:rPr>
      <w:color w:val="808080"/>
    </w:rPr>
  </w:style>
  <w:style w:type="character" w:customStyle="1" w:styleId="49">
    <w:name w:val="Endnote Text Char"/>
    <w:basedOn w:val="4"/>
    <w:link w:val="11"/>
    <w:qFormat/>
    <w:uiPriority w:val="99"/>
    <w:rPr>
      <w:sz w:val="20"/>
      <w:szCs w:val="20"/>
    </w:rPr>
  </w:style>
  <w:style w:type="character" w:customStyle="1" w:styleId="50">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1">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2">
    <w:name w:val="Unresolved Mention"/>
    <w:basedOn w:val="4"/>
    <w:semiHidden/>
    <w:unhideWhenUsed/>
    <w:qFormat/>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2.bin"/></Relationships>
</file>

<file path=word/activeX/_rels/activeX2.xml.rels><?xml version="1.0" encoding="UTF-8" standalone="yes"?>
<Relationships xmlns="http://schemas.openxmlformats.org/package/2006/relationships"><Relationship Id="rId1" Type="http://schemas.microsoft.com/office/2006/relationships/activeXControlBinary" Target="activeX3.bin"/></Relationships>
</file>

<file path=word/activeX/_rels/activeX3.xml.rels><?xml version="1.0" encoding="UTF-8" standalone="yes"?>
<Relationships xmlns="http://schemas.openxmlformats.org/package/2006/relationships"><Relationship Id="rId1" Type="http://schemas.microsoft.com/office/2006/relationships/activeXControlBinary" Target="activeX1.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25FD3"/>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uiPriority="1" w:name="Default Paragraph Font"/>
    <w:lsdException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uiPriority w:val="1"/>
  </w:style>
  <w:style w:type="table" w:default="1" w:styleId="3">
    <w:name w:val="Normal Table"/>
    <w:semiHidden/>
    <w:unhideWhenUsed/>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1ED1DF50-B557-40DB-AB1D-53089885C6E0}">
  <ds:schemaRefs/>
</ds:datastoreItem>
</file>

<file path=customXml/itemProps2.xml><?xml version="1.0" encoding="utf-8"?>
<ds:datastoreItem xmlns:ds="http://schemas.openxmlformats.org/officeDocument/2006/customXml" ds:itemID="{4712825F-F8FB-47DE-B6A1-8CCC6E07E218}">
  <ds:schemaRefs/>
</ds:datastoreItem>
</file>

<file path=customXml/itemProps3.xml><?xml version="1.0" encoding="utf-8"?>
<ds:datastoreItem xmlns:ds="http://schemas.openxmlformats.org/officeDocument/2006/customXml" ds:itemID="{EB1C2039-A1E2-420D-9A37-E0F60F4991A9}">
  <ds:schemaRefs/>
</ds:datastoreItem>
</file>

<file path=customXml/itemProps4.xml><?xml version="1.0" encoding="utf-8"?>
<ds:datastoreItem xmlns:ds="http://schemas.openxmlformats.org/officeDocument/2006/customXml" ds:itemID="{57E59553-E217-482E-8EE7-C905E1600DAA}">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11</Pages>
  <Words>215666</Words>
  <Characters>1229299</Characters>
  <Lines>10244</Lines>
  <Paragraphs>2884</Paragraphs>
  <TotalTime>10</TotalTime>
  <ScaleCrop>false</ScaleCrop>
  <LinksUpToDate>false</LinksUpToDate>
  <CharactersWithSpaces>1442081</CharactersWithSpaces>
  <Application>WPS Office_11.2.0.11306_F1E327BC-269C-435d-A152-05C5408002CA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2021-11-03T12:24:00Z</dcterms:created>
  <dc:creator>Fanning, Stephen B (JMD)</dc:creator>
  <cp:lastModifiedBy>Doreen</cp:lastModifiedBy>
  <cp:lastPrinted>2020-04-16T14:23:00Z</cp:lastPrinted>
  <dcterms:modified xsi:type="dcterms:W3CDTF">2022-09-18T15:09:41Z</dcterms:modified>
  <cp:revision>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1033-11.2.0.11306</vt:lpwstr>
  </property>
  <property fmtid="{D5CDD505-2E9C-101B-9397-08002B2CF9AE}" pid="4" name="ICV">
    <vt:lpwstr>BB9FCB5491D34420BBFA92C6E660576E</vt:lpwstr>
  </property>
</Properties>
</file>