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684"/>
            <w:bookmarkStart w:id="5" w:name="_Toc36813071"/>
            <w:bookmarkStart w:id="6" w:name="_Toc368125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color w:val="000000"/>
              </w:rPr>
              <w:t>Goal 13: Take urgent action to combat climate change and its impacts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color w:val="000000"/>
              </w:rPr>
              <w:t>Target 13.2: Integrate climate change measures into national policies, strategies and planning</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color w:val="000000"/>
              </w:rPr>
              <w:t>Indicator 13.2.2: Total greenhouse gas emissions per year</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color w:val="000000"/>
              </w:rPr>
              <w:t>UN Climate Change (UNFCCC Secretariat)</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7"/>
        <w:gridCol w:w="5840"/>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3072"/>
            <w:bookmarkStart w:id="10" w:name="_Toc36812685"/>
            <w:bookmarkStart w:id="11" w:name="_Toc368125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655610"/>
            <w:bookmarkStart w:id="15" w:name="_Toc36813073"/>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pPr>
            <w:r>
              <w:rPr>
                <w:rFonts w:hint="default" w:ascii="Calibri" w:hAnsi="Calibri" w:cs="Calibri"/>
                <w:color w:val="000000"/>
                <w:sz w:val="22"/>
                <w:szCs w:val="22"/>
              </w:rPr>
              <w:t xml:space="preserv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color w:val="000000"/>
              </w:rPr>
              <w:t>M</w:t>
            </w:r>
            <w:r>
              <w:rPr>
                <w:rFonts w:hint="default"/>
                <w:color w:val="000000"/>
                <w:lang w:val="en-CA"/>
              </w:rPr>
              <w:t xml:space="preserve">etric Tonnes of </w:t>
            </w:r>
            <w:r>
              <w:rPr>
                <w:color w:val="000000"/>
              </w:rPr>
              <w:t>CO2-equivalent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Ghana’s Third Biennial Update Report,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Environmental Protection Agency (EPA)</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7932747"/>
            <w:bookmarkStart w:id="22" w:name="_Toc36655612"/>
            <w:bookmarkStart w:id="23" w:name="_Toc36812688"/>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hint="default" w:ascii="Calibri" w:hAnsi="Calibri" w:cs="Calibri"/>
                <w:color w:val="000000"/>
                <w:sz w:val="22"/>
                <w:szCs w:val="22"/>
              </w:rPr>
            </w:pPr>
            <w:r>
              <w:rPr>
                <w:rFonts w:hint="default" w:ascii="Calibri" w:hAnsi="Calibri" w:cs="Calibri"/>
                <w:color w:val="000000"/>
                <w:sz w:val="22"/>
                <w:szCs w:val="22"/>
              </w:rPr>
              <w:t>The ultimate objective of the</w:t>
            </w:r>
            <w:r>
              <w:rPr>
                <w:rFonts w:hint="default" w:ascii="Calibri" w:hAnsi="Calibri" w:cs="Calibri"/>
                <w:color w:val="000000"/>
                <w:sz w:val="22"/>
                <w:szCs w:val="22"/>
                <w:lang w:val="en-CA"/>
              </w:rPr>
              <w:t xml:space="preserve"> </w:t>
            </w:r>
            <w:r>
              <w:rPr>
                <w:rFonts w:hint="default" w:ascii="Calibri" w:hAnsi="Calibri" w:cs="Calibri"/>
                <w:color w:val="000000"/>
                <w:sz w:val="22"/>
                <w:szCs w:val="22"/>
                <w:lang w:val="en-CA"/>
              </w:rPr>
              <w:fldChar w:fldCharType="begin"/>
            </w:r>
            <w:r>
              <w:rPr>
                <w:rFonts w:hint="default" w:ascii="Calibri" w:hAnsi="Calibri" w:cs="Calibri"/>
                <w:color w:val="000000"/>
                <w:sz w:val="22"/>
                <w:szCs w:val="22"/>
                <w:lang w:val="en-CA"/>
              </w:rPr>
              <w:instrText xml:space="preserve"> HYPERLINK "https://unfccc.int/resource/docs/convkp/conveng.pdf" </w:instrText>
            </w:r>
            <w:r>
              <w:rPr>
                <w:rFonts w:hint="default" w:ascii="Calibri" w:hAnsi="Calibri" w:cs="Calibri"/>
                <w:color w:val="000000"/>
                <w:sz w:val="22"/>
                <w:szCs w:val="22"/>
                <w:lang w:val="en-CA"/>
              </w:rPr>
              <w:fldChar w:fldCharType="separate"/>
            </w:r>
            <w:r>
              <w:rPr>
                <w:rStyle w:val="18"/>
                <w:rFonts w:hint="default" w:ascii="Calibri" w:hAnsi="Calibri" w:cs="Calibri"/>
                <w:color w:val="000000"/>
                <w:sz w:val="22"/>
                <w:szCs w:val="22"/>
                <w:lang w:val="en-CA"/>
              </w:rPr>
              <w:t xml:space="preserve">United Nations Framework </w:t>
            </w:r>
            <w:r>
              <w:rPr>
                <w:rStyle w:val="18"/>
                <w:rFonts w:hint="default" w:ascii="Calibri" w:hAnsi="Calibri" w:cs="Calibri"/>
                <w:color w:val="000000"/>
                <w:sz w:val="22"/>
                <w:szCs w:val="22"/>
              </w:rPr>
              <w:t>Climate Change Convention (UNFCCC)</w:t>
            </w:r>
            <w:r>
              <w:rPr>
                <w:rFonts w:hint="default" w:ascii="Calibri" w:hAnsi="Calibri" w:cs="Calibri"/>
                <w:color w:val="000000"/>
                <w:sz w:val="22"/>
                <w:szCs w:val="22"/>
                <w:lang w:val="en-CA"/>
              </w:rPr>
              <w:fldChar w:fldCharType="end"/>
            </w:r>
            <w:r>
              <w:rPr>
                <w:rFonts w:hint="default" w:ascii="Calibri" w:hAnsi="Calibri" w:cs="Calibri"/>
                <w:color w:val="000000"/>
                <w:sz w:val="22"/>
                <w:szCs w:val="22"/>
              </w:rPr>
              <w:t xml:space="preserve"> is to achieve the stabilization of greenhouse gas concentrations in the atmosphere at a level that would prevent dangerous anthropogenic interference with the climate system. Estimating the levels of greenhouse gas (GHG) emissions and removals is an important element of the efforts to achieve this objective.</w:t>
            </w:r>
          </w:p>
          <w:p>
            <w:r>
              <w:rPr>
                <w:rFonts w:hint="default" w:ascii="Calibri" w:hAnsi="Calibri" w:cs="Calibri"/>
                <w:color w:val="000000"/>
                <w:sz w:val="22"/>
                <w:szCs w:val="22"/>
              </w:rPr>
              <w:t xml:space="preserve">The Paris Agreement adopted in 2015 marks the latest step in the evolution of the UN climate change regime and builds on the work undertaken under the Convention. Its central aim is to strengthen the global response to the threat of climate change by keeping a global temperature rise </w:t>
            </w:r>
            <w:r>
              <w:rPr>
                <w:rFonts w:hint="default" w:ascii="Calibri" w:hAnsi="Calibri" w:cs="Calibri"/>
                <w:color w:val="000000"/>
                <w:sz w:val="22"/>
                <w:szCs w:val="22"/>
                <w:lang w:val="en-CA"/>
              </w:rPr>
              <w:t xml:space="preserve">of </w:t>
            </w:r>
            <w:r>
              <w:rPr>
                <w:rFonts w:hint="default" w:ascii="Calibri" w:hAnsi="Calibri" w:cs="Calibri"/>
                <w:color w:val="000000"/>
                <w:sz w:val="22"/>
                <w:szCs w:val="22"/>
              </w:rPr>
              <w:t>this century well below 2 degrees Celsius above pre-industrial levels and to pursue efforts to limit the temperature increase even further to 1.5 degrees Celsius.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 xml:space="preserve">Total GHG emissions are calculated as the sum of emissions of direct GHGs: carbon dioxide (CO2), methane (CH4), nitrous oxide (N2O), perfluorocarbons (PFCs), hydrofluorocarbons (HFCs), sulphur hexafluoride (SF6) and nitrogen trifluoride (NF3), measured in units of CO2-equivalent, by using a common weighting factor, </w:t>
            </w:r>
            <w:r>
              <w:fldChar w:fldCharType="begin"/>
            </w:r>
            <w:r>
              <w:instrText xml:space="preserve"> HYPERLINK "https://www.epa.gov/ghgemissions/understanding-global-warming-potentials" </w:instrText>
            </w:r>
            <w:r>
              <w:fldChar w:fldCharType="separate"/>
            </w:r>
            <w:r>
              <w:rPr>
                <w:rStyle w:val="18"/>
              </w:rPr>
              <w:t>the</w:t>
            </w:r>
            <w:r>
              <w:rPr>
                <w:rStyle w:val="18"/>
                <w:rFonts w:hint="default"/>
                <w:lang w:val="en-CA"/>
              </w:rPr>
              <w:t xml:space="preserve"> </w:t>
            </w:r>
            <w:r>
              <w:rPr>
                <w:rStyle w:val="18"/>
              </w:rPr>
              <w:t>Global Warming Potentials (GWP).</w:t>
            </w:r>
            <w:r>
              <w:fldChar w:fldCharType="end"/>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7932748"/>
            <w:bookmarkStart w:id="27" w:name="_Toc36655613"/>
            <w:bookmarkStart w:id="28" w:name="_Toc368130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emission source.</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color w:val="auto"/>
                <w:u w:val="none"/>
              </w:rPr>
              <w:fldChar w:fldCharType="begin"/>
            </w:r>
            <w:r>
              <w:rPr>
                <w:color w:val="auto"/>
                <w:u w:val="none"/>
              </w:rPr>
              <w:instrText xml:space="preserve"> HYPERLINK "https://unstats.un.org/sdgs/metadata/files/Metadata-13-02-02.pdf" </w:instrText>
            </w:r>
            <w:r>
              <w:rPr>
                <w:color w:val="auto"/>
                <w:u w:val="none"/>
              </w:rPr>
              <w:fldChar w:fldCharType="separate"/>
            </w:r>
            <w:r>
              <w:rPr>
                <w:rStyle w:val="18"/>
              </w:rPr>
              <w:t>SDG Indicators — SDG Indicators (un.org)</w:t>
            </w:r>
            <w:r>
              <w:rPr>
                <w:color w:val="auto"/>
                <w:u w:val="none"/>
              </w:rPr>
              <w:fldChar w:fldCharType="end"/>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6ED8"/>
    <w:rsid w:val="0051738B"/>
    <w:rsid w:val="005222F8"/>
    <w:rsid w:val="00522827"/>
    <w:rsid w:val="0052362A"/>
    <w:rsid w:val="0053509F"/>
    <w:rsid w:val="00535955"/>
    <w:rsid w:val="005370AC"/>
    <w:rsid w:val="00537550"/>
    <w:rsid w:val="005377B9"/>
    <w:rsid w:val="00560EB1"/>
    <w:rsid w:val="00571DE4"/>
    <w:rsid w:val="005803B3"/>
    <w:rsid w:val="005811CE"/>
    <w:rsid w:val="00581C4A"/>
    <w:rsid w:val="00581D14"/>
    <w:rsid w:val="005966A8"/>
    <w:rsid w:val="005B293A"/>
    <w:rsid w:val="005B657A"/>
    <w:rsid w:val="005C091C"/>
    <w:rsid w:val="005C570B"/>
    <w:rsid w:val="005C76A1"/>
    <w:rsid w:val="005E2EB1"/>
    <w:rsid w:val="005F5729"/>
    <w:rsid w:val="005F7B42"/>
    <w:rsid w:val="00604A6A"/>
    <w:rsid w:val="00611159"/>
    <w:rsid w:val="0061331D"/>
    <w:rsid w:val="00632BEA"/>
    <w:rsid w:val="00633477"/>
    <w:rsid w:val="00636ED1"/>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3BA3"/>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016"/>
    <w:rsid w:val="00F93763"/>
    <w:rsid w:val="00F939A2"/>
    <w:rsid w:val="00F96E8D"/>
    <w:rsid w:val="00FA20D9"/>
    <w:rsid w:val="00FB03D0"/>
    <w:rsid w:val="00FD54D7"/>
    <w:rsid w:val="00FF642D"/>
    <w:rsid w:val="1BB8573F"/>
    <w:rsid w:val="23A64FE3"/>
    <w:rsid w:val="43102369"/>
    <w:rsid w:val="550273CB"/>
    <w:rsid w:val="7DD8735D"/>
    <w:rsid w:val="7F55294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268E2"/>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215702</Words>
  <Characters>1229503</Characters>
  <Lines>10245</Lines>
  <Paragraphs>2884</Paragraphs>
  <TotalTime>3</TotalTime>
  <ScaleCrop>false</ScaleCrop>
  <LinksUpToDate>false</LinksUpToDate>
  <CharactersWithSpaces>1442321</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2022-11-15T17:49:05Z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AA52721F8C2C491A97E5C38BE11F13FD</vt:lpwstr>
  </property>
</Properties>
</file>