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15.5.1 Red List Index [15.5.1] (ER_RSK_LST)</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812684"/>
            <w:bookmarkStart w:id="6" w:name="_Toc368130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ascii="Calibri" w:hAnsi="Calibri" w:eastAsia="Times New Roman" w:cs="Times New Roman"/>
                <w:color w:val="333333"/>
                <w:sz w:val="22"/>
                <w:szCs w:val="22"/>
                <w:lang w:eastAsia="en-GB"/>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ascii="Calibri" w:hAnsi="Calibri" w:eastAsia="Times New Roman" w:cs="Times New Roman"/>
                <w:color w:val="333333"/>
                <w:sz w:val="22"/>
                <w:szCs w:val="22"/>
                <w:lang w:eastAsia="en-GB"/>
              </w:rPr>
              <w:t>Target 15.5: Take urgent and significant action to reduce the degradation of natural habitats, halt the loss of biodiversity and, by 2020, protect and prevent the extinction of threatened species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15.5.1: Red List Index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International Union for Conservation of Nature (IUCN)</w:t>
            </w:r>
          </w:p>
          <w:p>
            <w:pPr>
              <w:pStyle w:val="29"/>
            </w:pPr>
            <w:r>
              <w:rPr>
                <w:sz w:val="22"/>
                <w:szCs w:val="22"/>
              </w:rPr>
              <w:t>BirdLife International (BLI)</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3072"/>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b/>
                <w:bCs/>
                <w:color w:val="4A4A4A"/>
                <w:sz w:val="22"/>
                <w:szCs w:val="22"/>
                <w:lang w:eastAsia="en-GB"/>
              </w:rPr>
              <w:t>Definition:</w:t>
            </w:r>
          </w:p>
          <w:p>
            <w:pPr>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color w:val="4A4A4A"/>
                <w:sz w:val="22"/>
                <w:szCs w:val="22"/>
                <w:lang w:eastAsia="en-GB"/>
              </w:rPr>
              <w:t xml:space="preserve">The Red List Index measures change in aggregate extinction risk across groups of species. It is based on genuine changes in the number of species in each category of extinction risk on </w:t>
            </w:r>
            <w:r>
              <w:rPr>
                <w:rFonts w:ascii="Calibri" w:hAnsi="Calibri" w:eastAsia="Times New Roman" w:cs="Times New Roman"/>
                <w:color w:val="4A4A4A"/>
                <w:sz w:val="22"/>
                <w:szCs w:val="22"/>
                <w:lang w:eastAsia="en-GB"/>
              </w:rPr>
              <w:fldChar w:fldCharType="begin"/>
            </w:r>
            <w:r>
              <w:rPr>
                <w:rFonts w:ascii="Calibri" w:hAnsi="Calibri" w:eastAsia="Times New Roman" w:cs="Times New Roman"/>
                <w:color w:val="4A4A4A"/>
                <w:sz w:val="22"/>
                <w:szCs w:val="22"/>
                <w:lang w:eastAsia="en-GB"/>
              </w:rPr>
              <w:instrText xml:space="preserve"> HYPERLINK "https://www.iucnredlist.org/" </w:instrText>
            </w:r>
            <w:r>
              <w:rPr>
                <w:rFonts w:ascii="Calibri" w:hAnsi="Calibri" w:eastAsia="Times New Roman" w:cs="Times New Roman"/>
                <w:color w:val="4A4A4A"/>
                <w:sz w:val="22"/>
                <w:szCs w:val="22"/>
                <w:lang w:eastAsia="en-GB"/>
              </w:rPr>
              <w:fldChar w:fldCharType="separate"/>
            </w:r>
            <w:r>
              <w:rPr>
                <w:rStyle w:val="18"/>
                <w:rFonts w:ascii="Calibri" w:hAnsi="Calibri" w:eastAsia="Times New Roman" w:cs="Times New Roman"/>
                <w:color w:val="4A4A4A"/>
                <w:sz w:val="22"/>
                <w:szCs w:val="22"/>
                <w:lang w:eastAsia="en-GB"/>
              </w:rPr>
              <w:t>The IUCN Red List of Threatened Species</w:t>
            </w:r>
            <w:r>
              <w:rPr>
                <w:rFonts w:ascii="Calibri" w:hAnsi="Calibri" w:eastAsia="Times New Roman" w:cs="Times New Roman"/>
                <w:color w:val="4A4A4A"/>
                <w:sz w:val="22"/>
                <w:szCs w:val="22"/>
                <w:lang w:eastAsia="en-GB"/>
              </w:rPr>
              <w:fldChar w:fldCharType="end"/>
            </w:r>
            <w:r>
              <w:rPr>
                <w:rFonts w:hint="default" w:ascii="Calibri" w:hAnsi="Calibri" w:eastAsia="Times New Roman" w:cs="Times New Roman"/>
                <w:color w:val="4A4A4A"/>
                <w:sz w:val="22"/>
                <w:szCs w:val="22"/>
                <w:lang w:val="en-CA" w:eastAsia="en-GB"/>
              </w:rPr>
              <w:t xml:space="preserve"> </w:t>
            </w:r>
            <w:r>
              <w:rPr>
                <w:rFonts w:ascii="Calibri" w:hAnsi="Calibri" w:eastAsia="Times New Roman" w:cs="Times New Roman"/>
                <w:color w:val="4A4A4A"/>
                <w:sz w:val="22"/>
                <w:szCs w:val="22"/>
                <w:lang w:eastAsia="en-GB"/>
              </w:rPr>
              <w:t>expressed as changes in an index ranging from 0 to 1.</w:t>
            </w:r>
          </w:p>
          <w:p>
            <w:pPr>
              <w:shd w:val="clear" w:color="auto" w:fill="FFFFFF"/>
              <w:contextualSpacing/>
              <w:jc w:val="both"/>
              <w:rPr>
                <w:rFonts w:ascii="Calibri" w:hAnsi="Calibri" w:eastAsia="Times New Roman" w:cs="Times New Roman"/>
                <w:color w:val="4A4A4A"/>
                <w:sz w:val="22"/>
                <w:szCs w:val="22"/>
                <w:lang w:eastAsia="en-GB"/>
              </w:rPr>
            </w:pPr>
          </w:p>
          <w:p>
            <w:pPr>
              <w:shd w:val="clear" w:color="auto" w:fill="FFFFFF"/>
              <w:contextualSpacing/>
              <w:jc w:val="both"/>
              <w:rPr>
                <w:rFonts w:ascii="Calibri" w:hAnsi="Calibri" w:eastAsia="Times New Roman" w:cs="Times New Roman"/>
                <w:color w:val="4A4A4A"/>
                <w:sz w:val="22"/>
                <w:szCs w:val="22"/>
                <w:lang w:eastAsia="en-GB"/>
              </w:rPr>
            </w:pPr>
          </w:p>
          <w:p>
            <w:pPr>
              <w:keepNext/>
              <w:keepLines/>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b/>
                <w:bCs/>
                <w:color w:val="4A4A4A"/>
                <w:sz w:val="22"/>
                <w:szCs w:val="22"/>
                <w:lang w:eastAsia="en-GB"/>
              </w:rPr>
              <w:t>Concepts:</w:t>
            </w:r>
          </w:p>
          <w:p>
            <w:pPr>
              <w:keepNext/>
              <w:keepLines/>
              <w:shd w:val="clear" w:color="auto" w:fill="FFFFFF"/>
              <w:contextualSpacing/>
              <w:jc w:val="both"/>
              <w:rPr>
                <w:rFonts w:ascii="Calibri" w:hAnsi="Calibri" w:eastAsia="Times New Roman" w:cs="Times New Roman"/>
                <w:color w:val="4A4A4A"/>
                <w:sz w:val="22"/>
                <w:szCs w:val="22"/>
                <w:lang w:eastAsia="en-GB"/>
              </w:rPr>
            </w:pPr>
            <w:r>
              <w:rPr>
                <w:rFonts w:ascii="Calibri" w:hAnsi="Calibri" w:eastAsia="Times New Roman" w:cs="Times New Roman"/>
                <w:color w:val="4A4A4A"/>
                <w:sz w:val="22"/>
                <w:szCs w:val="22"/>
                <w:lang w:eastAsia="en-GB"/>
              </w:rPr>
              <w:t>Threatened species are those listed on The IUCN Red List of Threatened Species in the categories Vulnerable, Endangered, or Critically Endangered (i.e., species that are facing a high, very high, or extremely high risk of extinction in the wild in the medium-term future).</w:t>
            </w:r>
          </w:p>
          <w:p>
            <w:pPr>
              <w:keepNext/>
              <w:keepLines/>
              <w:shd w:val="clear" w:color="auto" w:fill="FFFFFF"/>
              <w:contextualSpacing/>
              <w:jc w:val="both"/>
            </w:pPr>
            <w:r>
              <w:rPr>
                <w:rFonts w:ascii="Calibri" w:hAnsi="Calibri" w:eastAsia="Times New Roman" w:cs="Times New Roman"/>
                <w:color w:val="4A4A4A"/>
                <w:sz w:val="22"/>
                <w:szCs w:val="22"/>
                <w:lang w:eastAsia="en-GB"/>
              </w:rPr>
              <w:t>Changes over time in the proportion of species threatened with extinction are largely driven by improvements in knowledge and changing taxonomy. The indicator excludes such changes to yield a more informative indicator than the simple proportion of threatened species. It therefore measures change in aggregate extinction risk across groups of species over time, resulting from genuine improvements or deteriorations in the status of individual species.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eastAsia="zh-CN"/>
              </w:rPr>
              <w:t>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R</w:t>
            </w:r>
            <w:r>
              <w:rPr>
                <w:rFonts w:hint="default" w:cstheme="minorHAnsi"/>
                <w:lang w:val="en-CA"/>
              </w:rPr>
              <w:t xml:space="preserve">esource </w:t>
            </w:r>
            <w:r>
              <w:rPr>
                <w:rFonts w:cstheme="minorHAnsi"/>
              </w:rPr>
              <w:t>M</w:t>
            </w:r>
            <w:r>
              <w:rPr>
                <w:rFonts w:hint="default" w:cstheme="minorHAnsi"/>
                <w:lang w:val="en-CA"/>
              </w:rPr>
              <w:t xml:space="preserve">anagement </w:t>
            </w:r>
            <w:r>
              <w:rPr>
                <w:rFonts w:cstheme="minorHAnsi"/>
              </w:rPr>
              <w:t>S</w:t>
            </w:r>
            <w:r>
              <w:rPr>
                <w:rFonts w:hint="default" w:cstheme="minorHAnsi"/>
                <w:lang w:val="en-CA"/>
              </w:rPr>
              <w:t xml:space="preserve">upport </w:t>
            </w:r>
            <w:r>
              <w:rPr>
                <w:rFonts w:cstheme="minorHAnsi"/>
              </w:rPr>
              <w:t>C</w:t>
            </w:r>
            <w:r>
              <w:rPr>
                <w:rFonts w:hint="default" w:cstheme="minorHAnsi"/>
                <w:lang w:val="en-CA"/>
              </w:rPr>
              <w:t>entre (RMSC)</w:t>
            </w:r>
            <w:r>
              <w:rPr>
                <w:rFonts w:cstheme="minorHAnsi"/>
              </w:rPr>
              <w:t>, 2020</w:t>
            </w:r>
          </w:p>
          <w:p>
            <w:pPr>
              <w:rPr>
                <w:rFonts w:hint="default" w:cstheme="minorHAnsi"/>
                <w:lang w:val="en-CA"/>
              </w:rPr>
            </w:pPr>
            <w:r>
              <w:rPr>
                <w:rFonts w:hint="default" w:cstheme="minorHAnsi"/>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Forestry Commission of Ghana (FC)</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2688"/>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This indicator can be used to assess overall changes in the extinction risk of groups of species as a result of these threats and the extent to which threats are being mitigated. The Red List Index value ranges from 1 (all species are categorized as ‘Least Concern’) to 0 (all species are categorized as ‘Extinct’), and so indicates how far the set of species has moved overall towards extinction.</w:t>
            </w:r>
            <w:r>
              <w:rPr>
                <w:rFonts w:hint="default"/>
                <w:lang w:val="en-CA"/>
              </w:rPr>
              <w:t xml:space="preserve"> </w:t>
            </w:r>
            <w:r>
              <w:t xml:space="preserve">An upward global Red List Index trend would indicate that the SDG Target 15.5 of reducing the degradation of natural habitats and protecting threatened species is on track. A global Red List Index value of 1 would indicate that biodiversity loss has been halted.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689"/>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fldChar w:fldCharType="begin"/>
            </w:r>
            <w:r>
              <w:rPr>
                <w:rFonts w:hint="default"/>
                <w:lang w:val="en-CA"/>
              </w:rPr>
              <w:instrText xml:space="preserve"> HYPERLINK "http://bit.ly/3UTNwdh" </w:instrText>
            </w:r>
            <w:r>
              <w:rPr>
                <w:rFonts w:hint="default"/>
                <w:lang w:val="en-CA"/>
              </w:rPr>
              <w:fldChar w:fldCharType="separate"/>
            </w:r>
            <w:r>
              <w:rPr>
                <w:rStyle w:val="18"/>
                <w:rFonts w:hint="default"/>
                <w:lang w:val="en-CA"/>
              </w:rPr>
              <w:t>http://bit.ly/3UTNwdh</w:t>
            </w:r>
            <w:r>
              <w:rPr>
                <w:rFonts w:hint="default"/>
                <w:lang w:val="en-CA"/>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40B0"/>
    <w:rsid w:val="001F0C55"/>
    <w:rsid w:val="001F31C6"/>
    <w:rsid w:val="00202B2D"/>
    <w:rsid w:val="0020618B"/>
    <w:rsid w:val="0022035F"/>
    <w:rsid w:val="00227BE5"/>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436B"/>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BAF4096"/>
    <w:rsid w:val="2DD21594"/>
    <w:rsid w:val="41787077"/>
    <w:rsid w:val="426924F9"/>
    <w:rsid w:val="6065675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0043"/>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215854</Words>
  <Characters>1230373</Characters>
  <Lines>10253</Lines>
  <Paragraphs>2886</Paragraphs>
  <TotalTime>60</TotalTime>
  <ScaleCrop>false</ScaleCrop>
  <LinksUpToDate>false</LinksUpToDate>
  <CharactersWithSpaces>1443341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2021-11-05T10:59:00Z</dcterms:created>
  <dc:creator>Fanning, Stephen B (JMD)</dc:creator>
  <cp:lastModifiedBy>Doreen</cp:lastModifiedBy>
  <cp:lastPrinted>2020-04-16T14:23:00Z</cp:lastPrinted>
  <dcterms:modified xsi:type="dcterms:W3CDTF">2022-11-15T15:40:57Z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0521600E01A1470EA5345D9DADC952F5</vt:lpwstr>
  </property>
</Properties>
</file>