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333333"/>
                <w:sz w:val="22"/>
                <w:szCs w:val="22"/>
                <w:lang w:eastAsia="en-GB"/>
              </w:rPr>
              <w:t>Target 16.1: Significantly reduce all forms of violence and related death rates everywhere</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color w:val="auto"/>
              </w:rPr>
            </w:pPr>
            <w:r>
              <w:rPr>
                <w:rFonts w:eastAsia="Times New Roman" w:cs="Times New Roman"/>
                <w:color w:val="auto"/>
                <w:lang w:eastAsia="en-GB"/>
              </w:rPr>
              <w:t xml:space="preserve">Indicator 16.1.3: Proportion of population subjected to </w:t>
            </w:r>
            <w:r>
              <w:rPr>
                <w:rFonts w:hint="default" w:eastAsia="Times New Roman" w:cs="Times New Roman"/>
                <w:color w:val="auto"/>
                <w:lang w:val="en-CA" w:eastAsia="en-GB"/>
              </w:rPr>
              <w:t xml:space="preserve">(a) </w:t>
            </w:r>
            <w:r>
              <w:rPr>
                <w:rFonts w:eastAsia="Times New Roman" w:cs="Times New Roman"/>
                <w:color w:val="auto"/>
                <w:lang w:eastAsia="en-GB"/>
              </w:rPr>
              <w:t>physical</w:t>
            </w:r>
            <w:r>
              <w:rPr>
                <w:rFonts w:hint="default" w:eastAsia="Times New Roman" w:cs="Times New Roman"/>
                <w:color w:val="auto"/>
                <w:lang w:val="en-CA" w:eastAsia="en-GB"/>
              </w:rPr>
              <w:t xml:space="preserve"> violence</w:t>
            </w:r>
            <w:r>
              <w:rPr>
                <w:rFonts w:eastAsia="Times New Roman" w:cs="Times New Roman"/>
                <w:color w:val="auto"/>
                <w:lang w:eastAsia="en-GB"/>
              </w:rPr>
              <w:t xml:space="preserve">, </w:t>
            </w:r>
            <w:r>
              <w:rPr>
                <w:rFonts w:hint="default" w:eastAsia="Times New Roman" w:cs="Times New Roman"/>
                <w:color w:val="auto"/>
                <w:lang w:val="en-CA" w:eastAsia="en-GB"/>
              </w:rPr>
              <w:t xml:space="preserve">(b) </w:t>
            </w:r>
            <w:r>
              <w:rPr>
                <w:rFonts w:eastAsia="Times New Roman" w:cs="Times New Roman"/>
                <w:color w:val="auto"/>
                <w:lang w:eastAsia="en-GB"/>
              </w:rPr>
              <w:t xml:space="preserve">psychological </w:t>
            </w:r>
            <w:r>
              <w:rPr>
                <w:rFonts w:hint="default" w:eastAsia="Times New Roman" w:cs="Times New Roman"/>
                <w:color w:val="auto"/>
                <w:lang w:val="en-CA" w:eastAsia="en-GB"/>
              </w:rPr>
              <w:t xml:space="preserve">violence </w:t>
            </w:r>
            <w:r>
              <w:rPr>
                <w:rFonts w:eastAsia="Times New Roman" w:cs="Times New Roman"/>
                <w:color w:val="auto"/>
                <w:lang w:eastAsia="en-GB"/>
              </w:rPr>
              <w:t xml:space="preserve">or </w:t>
            </w:r>
            <w:r>
              <w:rPr>
                <w:rFonts w:hint="default" w:eastAsia="Times New Roman" w:cs="Times New Roman"/>
                <w:color w:val="auto"/>
                <w:lang w:val="en-CA" w:eastAsia="en-GB"/>
              </w:rPr>
              <w:t xml:space="preserve">(c) </w:t>
            </w:r>
            <w:r>
              <w:rPr>
                <w:rFonts w:eastAsia="Times New Roman" w:cs="Times New Roman"/>
                <w:color w:val="auto"/>
                <w:lang w:eastAsia="en-GB"/>
              </w:rPr>
              <w:t>sexual violence in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Proportion of population subjected to economic violence in the previous 12 months [16.1.3]</w:t>
            </w:r>
          </w:p>
          <w:p>
            <w:pPr>
              <w:rPr>
                <w:rFonts w:hint="default"/>
                <w:lang w:val="en-CA"/>
              </w:rPr>
            </w:pPr>
            <w:r>
              <w:rPr>
                <w:rFonts w:hint="default"/>
                <w:lang w:val="en-CA"/>
              </w:rPr>
              <w:t>Proportion of population subjected to physical violence in the previous 12 months [16.1.3]</w:t>
            </w:r>
          </w:p>
          <w:p>
            <w:pPr>
              <w:rPr>
                <w:rFonts w:hint="default"/>
                <w:lang w:val="en-CA"/>
              </w:rPr>
            </w:pPr>
            <w:r>
              <w:rPr>
                <w:rFonts w:hint="default"/>
                <w:lang w:val="en-CA"/>
              </w:rPr>
              <w:t>Proportion of population subjected to psychological violence in the previous 12 months [16.1.3]</w:t>
            </w:r>
          </w:p>
          <w:p>
            <w:pPr>
              <w:rPr>
                <w:rFonts w:hint="default"/>
                <w:lang w:val="en-CA"/>
              </w:rPr>
            </w:pPr>
            <w:r>
              <w:rPr>
                <w:rFonts w:hint="default"/>
                <w:lang w:val="en-CA"/>
              </w:rPr>
              <w:t>Proportion of population s</w:t>
            </w:r>
            <w:bookmarkStart w:id="38" w:name="_GoBack"/>
            <w:bookmarkEnd w:id="38"/>
            <w:r>
              <w:rPr>
                <w:rFonts w:hint="default"/>
                <w:lang w:val="en-CA"/>
              </w:rPr>
              <w:t>ubjected to sexual violence in the previous 12 months [16.1.3]</w:t>
            </w:r>
          </w:p>
          <w:p>
            <w:pPr>
              <w:rPr>
                <w:rFonts w:hint="default"/>
                <w:lang w:val="en-CA"/>
              </w:rPr>
            </w:pPr>
            <w:r>
              <w:rPr>
                <w:rFonts w:hint="default"/>
                <w:lang w:val="en-CA"/>
              </w:rPr>
              <w:t>Proportion of population subjected to social violence in the previous 12 moths [16.1.3]</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hint="default"/>
                <w:lang w:val="en-CA"/>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655609"/>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hint="default" w:eastAsia="Times New Roman" w:cs="Times New Roman"/>
                <w:color w:val="4A4A4A"/>
                <w:sz w:val="22"/>
                <w:szCs w:val="22"/>
                <w:lang w:val="en-CA" w:eastAsia="en-GB"/>
              </w:rPr>
            </w:pPr>
            <w:r>
              <w:rPr>
                <w:rFonts w:eastAsia="Times New Roman" w:cs="Times New Roman"/>
                <w:color w:val="4A4A4A"/>
                <w:sz w:val="22"/>
                <w:szCs w:val="22"/>
                <w:lang w:eastAsia="en-GB"/>
              </w:rPr>
              <w:t>The total number of persons who have been victim of physical, psychological or sexual violence in the previous 12 months, as a share of the total population.</w:t>
            </w:r>
            <w:r>
              <w:rPr>
                <w:rFonts w:hint="default" w:eastAsia="Times New Roman" w:cs="Times New Roman"/>
                <w:color w:val="4A4A4A"/>
                <w:sz w:val="22"/>
                <w:szCs w:val="22"/>
                <w:lang w:val="en-CA" w:eastAsia="en-GB"/>
              </w:rPr>
              <w:t xml:space="preserve"> </w:t>
            </w:r>
            <w:r>
              <w:rPr>
                <w:rFonts w:eastAsia="Times New Roman" w:cs="Times New Roman"/>
                <w:color w:val="4A4A4A"/>
                <w:sz w:val="22"/>
                <w:szCs w:val="22"/>
                <w:lang w:eastAsia="en-GB"/>
              </w:rPr>
              <w:t>This indicator measures the prevalence of victimization from physical, psychological or sexual violence</w:t>
            </w:r>
            <w:r>
              <w:rPr>
                <w:rFonts w:hint="default" w:eastAsia="Times New Roman" w:cs="Times New Roman"/>
                <w:color w:val="4A4A4A"/>
                <w:sz w:val="22"/>
                <w:szCs w:val="22"/>
                <w:lang w:val="en-CA" w:eastAsia="en-GB"/>
              </w:rPr>
              <w:t>.</w:t>
            </w:r>
          </w:p>
          <w:p>
            <w:pPr>
              <w:shd w:val="clear" w:color="auto" w:fill="FFFFFF"/>
              <w:spacing w:after="0"/>
              <w:rPr>
                <w:rFonts w:hint="default" w:eastAsia="Times New Roman" w:cs="Times New Roman"/>
                <w:color w:val="4A4A4A"/>
                <w:sz w:val="22"/>
                <w:szCs w:val="22"/>
                <w:lang w:val="en-CA" w:eastAsia="en-GB"/>
              </w:rPr>
            </w:pPr>
            <w:r>
              <w:rPr>
                <w:rFonts w:hint="default" w:eastAsia="Times New Roman" w:cs="Times New Roman"/>
                <w:color w:val="4A4A4A"/>
                <w:sz w:val="22"/>
                <w:szCs w:val="22"/>
                <w:lang w:val="en-CA" w:eastAsia="en-GB"/>
              </w:rPr>
              <w:t xml:space="preserve"> </w:t>
            </w:r>
          </w:p>
          <w:p>
            <w:pPr>
              <w:shd w:val="clear" w:color="auto" w:fill="FFFFFF"/>
              <w:spacing w:after="0"/>
              <w:rPr>
                <w:rFonts w:eastAsia="Times New Roman" w:cs="Times New Roman"/>
                <w:b/>
                <w:bCs/>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Physical violence: This concept is equivalent to the concept of physical assault, as defined in the </w:t>
            </w:r>
            <w:r>
              <w:rPr>
                <w:rFonts w:eastAsia="Times New Roman" w:cs="Times New Roman"/>
                <w:color w:val="4A4A4A"/>
                <w:sz w:val="22"/>
                <w:szCs w:val="22"/>
                <w:lang w:eastAsia="en-GB"/>
              </w:rPr>
              <w:fldChar w:fldCharType="begin"/>
            </w:r>
            <w:r>
              <w:rPr>
                <w:rFonts w:eastAsia="Times New Roman" w:cs="Times New Roman"/>
                <w:color w:val="4A4A4A"/>
                <w:sz w:val="22"/>
                <w:szCs w:val="22"/>
                <w:lang w:eastAsia="en-GB"/>
              </w:rPr>
              <w:instrText xml:space="preserve"> HYPERLINK "https://unstats.un.org/unsd/statcom/doc15/BG-ICCS-UNODC.pdf" </w:instrText>
            </w:r>
            <w:r>
              <w:rPr>
                <w:rFonts w:eastAsia="Times New Roman" w:cs="Times New Roman"/>
                <w:color w:val="4A4A4A"/>
                <w:sz w:val="22"/>
                <w:szCs w:val="22"/>
                <w:lang w:eastAsia="en-GB"/>
              </w:rPr>
              <w:fldChar w:fldCharType="separate"/>
            </w:r>
            <w:r>
              <w:rPr>
                <w:rStyle w:val="18"/>
                <w:rFonts w:eastAsia="Times New Roman" w:cs="Times New Roman"/>
                <w:color w:val="4A4A4A"/>
                <w:sz w:val="22"/>
                <w:szCs w:val="22"/>
                <w:lang w:eastAsia="en-GB"/>
              </w:rPr>
              <w:t>International Classification of Crime for Statistical Purposes (ICCS)</w:t>
            </w:r>
            <w:r>
              <w:rPr>
                <w:rFonts w:eastAsia="Times New Roman" w:cs="Times New Roman"/>
                <w:color w:val="4A4A4A"/>
                <w:sz w:val="22"/>
                <w:szCs w:val="22"/>
                <w:lang w:eastAsia="en-GB"/>
              </w:rPr>
              <w:fldChar w:fldCharType="end"/>
            </w:r>
            <w:r>
              <w:rPr>
                <w:rFonts w:eastAsia="Times New Roman" w:cs="Times New Roman"/>
                <w:color w:val="4A4A4A"/>
                <w:sz w:val="22"/>
                <w:szCs w:val="22"/>
                <w:lang w:eastAsia="en-GB"/>
              </w:rPr>
              <w:t xml:space="preserve">: the intentional or reckless application of physical force inflicted upon the body of a person. This includes serious and minor bodily injuries and serious and minor physical force. </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Sexual violence (ICCS): Unwanted sexual act, attempt to obtain a sexual act, or contact or communication with unwanted sexual attention without valid consent or with consent as a result of intimidation, force, fraud, coercion, threat, deception, use of drugs or alcohol, or abuse of power or of a position of vulnerability. This includes rape and other forms of sexual assault.</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Psychological violence: There is as yet no consensus at the international level of the precise definition of psychological violence and there is as yet no generally well-established methodology to measure psychological violence.</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Domestic Violence in Ghana - Incidence, Attitudes, Determinants and Consequences, 2016</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cstheme="minorHAnsi"/>
                <w:color w:val="262626"/>
                <w:lang w:val="en-CA"/>
              </w:rPr>
            </w:pPr>
            <w:r>
              <w:rPr>
                <w:rFonts w:cstheme="minorHAnsi"/>
                <w:color w:val="262626"/>
              </w:rPr>
              <w:t>Institute of Development Studies</w:t>
            </w:r>
            <w:r>
              <w:rPr>
                <w:rFonts w:hint="default" w:cstheme="minorHAnsi"/>
                <w:color w:val="262626"/>
                <w:lang w:val="en-CA"/>
              </w:rPr>
              <w:t xml:space="preserve"> (IDS}</w:t>
            </w:r>
          </w:p>
          <w:p>
            <w:pPr>
              <w:rPr>
                <w:rFonts w:hint="default"/>
                <w:lang w:val="en-CA"/>
              </w:rPr>
            </w:pPr>
            <w:r>
              <w:rPr>
                <w:rFonts w:cstheme="minorHAnsi"/>
                <w:color w:val="262626"/>
              </w:rPr>
              <w:t>G</w:t>
            </w:r>
            <w:r>
              <w:rPr>
                <w:rFonts w:hint="default" w:cstheme="minorHAnsi"/>
                <w:color w:val="262626"/>
                <w:lang w:val="en-CA"/>
              </w:rPr>
              <w:t xml:space="preserve">hana </w:t>
            </w:r>
            <w:r>
              <w:rPr>
                <w:rFonts w:cstheme="minorHAnsi"/>
                <w:color w:val="262626"/>
              </w:rPr>
              <w:t>S</w:t>
            </w:r>
            <w:r>
              <w:rPr>
                <w:rFonts w:hint="default" w:cstheme="minorHAnsi"/>
                <w:color w:val="262626"/>
                <w:lang w:val="en-CA"/>
              </w:rPr>
              <w:t xml:space="preserve">tatistical </w:t>
            </w:r>
            <w:r>
              <w:rPr>
                <w:rFonts w:cstheme="minorHAnsi"/>
                <w:color w:val="262626"/>
              </w:rPr>
              <w:t>S</w:t>
            </w:r>
            <w:r>
              <w:rPr>
                <w:rFonts w:hint="default" w:cstheme="minorHAnsi"/>
                <w:color w:val="262626"/>
                <w:lang w:val="en-CA"/>
              </w:rPr>
              <w:t>ervice (GSS)</w:t>
            </w:r>
            <w:r>
              <w:rPr>
                <w:rFonts w:cstheme="minorHAnsi"/>
                <w:color w:val="262626"/>
              </w:rPr>
              <w:t xml:space="preserve"> and Associates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2575"/>
            <w:bookmarkStart w:id="23" w:name="_Toc368130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rPr>
                <w:lang w:eastAsia="en-GB"/>
              </w:rPr>
              <w:t xml:space="preserve">This indicator measures the prevalence of victimization from physical, sexual (and, possibly, psychological) violence. Given that acts of violence are heavily </w:t>
            </w:r>
            <w:r>
              <w:rPr>
                <w:lang w:val="en-CA" w:eastAsia="en-GB"/>
              </w:rPr>
              <w:t>under</w:t>
            </w:r>
            <w:r>
              <w:rPr>
                <w:rFonts w:hint="default"/>
                <w:lang w:val="en-CA" w:eastAsia="en-GB"/>
              </w:rPr>
              <w:t>-</w:t>
            </w:r>
            <w:r>
              <w:rPr>
                <w:lang w:val="en-CA" w:eastAsia="en-GB"/>
              </w:rPr>
              <w:t>reported</w:t>
            </w:r>
            <w:r>
              <w:rPr>
                <w:lang w:eastAsia="en-GB"/>
              </w:rPr>
              <w:t xml:space="preserve"> to the authorities, this indicator needs to be based on data collected through sample surveys of the adult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pPr>
            <w:r>
              <w:t>Number of survey respondents who have been victim of physical, psychological or sexual violence in the previous 12 months, divided by the total number of survey respondents.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2576"/>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sex.</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4EA4"/>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1C82"/>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4C1"/>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4B4C"/>
    <w:rsid w:val="00F54570"/>
    <w:rsid w:val="00F75853"/>
    <w:rsid w:val="00F7784D"/>
    <w:rsid w:val="00F8144F"/>
    <w:rsid w:val="00F8462A"/>
    <w:rsid w:val="00F862A7"/>
    <w:rsid w:val="00F93763"/>
    <w:rsid w:val="00F939A2"/>
    <w:rsid w:val="00F96E8D"/>
    <w:rsid w:val="00FA20D9"/>
    <w:rsid w:val="00FB03D0"/>
    <w:rsid w:val="00FD54D7"/>
    <w:rsid w:val="00FF642D"/>
    <w:rsid w:val="2EF956A3"/>
    <w:rsid w:val="404320D5"/>
    <w:rsid w:val="50AA0F39"/>
    <w:rsid w:val="53C971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43AD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215802</Words>
  <Characters>1230076</Characters>
  <Lines>10250</Lines>
  <Paragraphs>2885</Paragraphs>
  <TotalTime>8</TotalTime>
  <ScaleCrop>false</ScaleCrop>
  <LinksUpToDate>false</LinksUpToDate>
  <CharactersWithSpaces>1442993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2021-11-05T11:03:00Z</dcterms:created>
  <dc:creator>Fanning, Stephen B (JMD)</dc:creator>
  <cp:lastModifiedBy>Doreen</cp:lastModifiedBy>
  <cp:lastPrinted>2020-04-16T14:23:00Z</cp:lastPrinted>
  <dcterms:modified xsi:type="dcterms:W3CDTF">2022-11-15T17:24:20Z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EA66070AC2D74C078193CCC9BB2694C7</vt:lpwstr>
  </property>
</Properties>
</file>