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6655608"/>
            <w:bookmarkStart w:id="5" w:name="_Toc36813071"/>
            <w:bookmarkStart w:id="6" w:name="_Toc37932743"/>
            <w:bookmarkStart w:id="7" w:name="_Toc36812684"/>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Goal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lang w:val="en-CA"/>
              </w:rPr>
            </w:pPr>
            <w:r>
              <w:rPr>
                <w:rFonts w:hint="default" w:eastAsia="Times New Roman" w:cs="Arial"/>
                <w:color w:val="333333"/>
                <w:sz w:val="22"/>
                <w:szCs w:val="22"/>
                <w:lang w:eastAsia="en-GB"/>
              </w:rPr>
              <w:t>Target 1</w:t>
            </w:r>
            <w:r>
              <w:rPr>
                <w:rFonts w:hint="default" w:eastAsia="Times New Roman" w:cs="Arial"/>
                <w:color w:val="333333"/>
                <w:sz w:val="22"/>
                <w:szCs w:val="22"/>
                <w:lang w:val="en-CA" w:eastAsia="en-GB"/>
              </w:rPr>
              <w:t>1</w:t>
            </w:r>
            <w:r>
              <w:rPr>
                <w:rFonts w:hint="default" w:eastAsia="Times New Roman" w:cs="Arial"/>
                <w:color w:val="333333"/>
                <w:sz w:val="22"/>
                <w:szCs w:val="22"/>
                <w:lang w:eastAsia="en-GB"/>
              </w:rPr>
              <w:t>.</w:t>
            </w:r>
            <w:r>
              <w:rPr>
                <w:rFonts w:hint="default" w:eastAsia="Times New Roman" w:cs="Arial"/>
                <w:color w:val="333333"/>
                <w:sz w:val="22"/>
                <w:szCs w:val="22"/>
                <w:lang w:val="en-CA" w:eastAsia="en-GB"/>
              </w:rPr>
              <w:t>5</w:t>
            </w:r>
            <w:r>
              <w:rPr>
                <w:rFonts w:hint="default" w:eastAsia="Times New Roman" w:cs="Arial"/>
                <w:color w:val="333333"/>
                <w:sz w:val="22"/>
                <w:szCs w:val="22"/>
                <w:lang w:eastAsia="en-GB"/>
              </w:rPr>
              <w:t xml:space="preserve">: </w:t>
            </w:r>
            <w:r>
              <w:rPr>
                <w:rFonts w:hint="default" w:eastAsia="Times New Roman" w:cs="Arial"/>
                <w:color w:val="333333"/>
                <w:sz w:val="22"/>
                <w:szCs w:val="22"/>
                <w:lang w:val="en-CA" w:eastAsia="en-GB"/>
              </w:rPr>
              <w:t>By 2030, significantly reduce the number of deaths and the number of people affected and substantially decrease the direct economic losses relative to global gross domestic product caused by disasters, including water-related disasters, with a focus on protecting the poor and people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lang w:eastAsia="en-GB"/>
              </w:rPr>
            </w:pPr>
            <w:r>
              <w:rPr>
                <w:rFonts w:hint="default" w:eastAsia="Times New Roman" w:cs="Arial"/>
                <w:lang w:eastAsia="en-GB"/>
              </w:rPr>
              <w:t>Indicator 1</w:t>
            </w:r>
            <w:r>
              <w:rPr>
                <w:rFonts w:hint="default" w:eastAsia="Times New Roman" w:cs="Arial"/>
                <w:lang w:val="en-CA" w:eastAsia="en-GB"/>
              </w:rPr>
              <w:t>1</w:t>
            </w:r>
            <w:r>
              <w:rPr>
                <w:rFonts w:hint="default" w:eastAsia="Times New Roman" w:cs="Arial"/>
                <w:lang w:eastAsia="en-GB"/>
              </w:rPr>
              <w:t>.</w:t>
            </w:r>
            <w:r>
              <w:rPr>
                <w:rFonts w:hint="default" w:eastAsia="Times New Roman" w:cs="Arial"/>
                <w:lang w:val="en-CA" w:eastAsia="en-GB"/>
              </w:rPr>
              <w:t>5</w:t>
            </w:r>
            <w:r>
              <w:rPr>
                <w:rFonts w:hint="default" w:eastAsia="Times New Roman" w:cs="Arial"/>
                <w:lang w:eastAsia="en-GB"/>
              </w:rPr>
              <w:t>.1: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685"/>
            <w:bookmarkStart w:id="9" w:name="_Toc37932744"/>
            <w:bookmarkStart w:id="10" w:name="_Toc36812572"/>
            <w:bookmarkStart w:id="11" w:name="_Toc36813072"/>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7932745"/>
            <w:bookmarkStart w:id="14" w:name="_Toc36812686"/>
            <w:bookmarkStart w:id="15" w:name="_Toc36812573"/>
            <w:bookmarkStart w:id="16" w:name="_Toc36813073"/>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This indicator measures the number of people who died, went missing or were directly affected by disasters per 100,000 population. </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pacing w:before="120" w:beforeAutospacing="0" w:after="240" w:afterAutospacing="0"/>
              <w:ind w:left="0" w:right="0"/>
              <w:jc w:val="both"/>
              <w:rPr>
                <w:rFonts w:hint="default" w:eastAsiaTheme="minorEastAsia"/>
                <w:b/>
                <w:sz w:val="22"/>
                <w:szCs w:val="22"/>
                <w:lang w:eastAsia="zh-CN"/>
              </w:rPr>
            </w:pPr>
            <w:r>
              <w:rPr>
                <w:rFonts w:hint="default"/>
                <w:b w:val="0"/>
                <w:bCs/>
                <w:sz w:val="22"/>
                <w:szCs w:val="22"/>
              </w:rPr>
              <w:t>Death:</w:t>
            </w:r>
            <w:r>
              <w:rPr>
                <w:rFonts w:hint="default"/>
                <w:b/>
                <w:sz w:val="22"/>
                <w:szCs w:val="22"/>
              </w:rPr>
              <w:t xml:space="preserve"> </w:t>
            </w:r>
            <w:r>
              <w:rPr>
                <w:rFonts w:hint="default"/>
                <w:bCs/>
                <w:sz w:val="22"/>
                <w:szCs w:val="22"/>
              </w:rPr>
              <w:t>The number of people who died during the disaster, or directly after, as a direct result of the hazardous event.</w:t>
            </w:r>
          </w:p>
          <w:p>
            <w:pPr>
              <w:keepNext w:val="0"/>
              <w:keepLines w:val="0"/>
              <w:widowControl/>
              <w:suppressLineNumbers w:val="0"/>
              <w:spacing w:before="120" w:beforeAutospacing="0" w:after="240" w:afterAutospacing="0"/>
              <w:ind w:left="0" w:right="0"/>
              <w:jc w:val="both"/>
              <w:rPr>
                <w:rFonts w:hint="default"/>
                <w:b/>
                <w:sz w:val="22"/>
                <w:szCs w:val="22"/>
              </w:rPr>
            </w:pPr>
            <w:r>
              <w:rPr>
                <w:rFonts w:hint="default"/>
                <w:b w:val="0"/>
                <w:bCs/>
                <w:sz w:val="22"/>
                <w:szCs w:val="22"/>
              </w:rPr>
              <w:t>Missing:</w:t>
            </w:r>
            <w:r>
              <w:rPr>
                <w:rFonts w:hint="default"/>
                <w:b/>
                <w:sz w:val="22"/>
                <w:szCs w:val="22"/>
              </w:rPr>
              <w:t xml:space="preserve"> </w:t>
            </w:r>
            <w:r>
              <w:rPr>
                <w:rFonts w:hint="default"/>
                <w:sz w:val="22"/>
                <w:szCs w:val="22"/>
              </w:rPr>
              <w:t>The number of people whose whereabouts is unknown since the hazardous event. It</w:t>
            </w:r>
            <w:r>
              <w:rPr>
                <w:rFonts w:hint="default"/>
                <w:b/>
                <w:bCs/>
                <w:sz w:val="22"/>
                <w:szCs w:val="22"/>
              </w:rPr>
              <w:t xml:space="preserve"> </w:t>
            </w:r>
            <w:r>
              <w:rPr>
                <w:rFonts w:hint="default"/>
                <w:sz w:val="22"/>
                <w:szCs w:val="22"/>
              </w:rPr>
              <w:t>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eastAsia="Times New Roman" w:cs="Times New Roman"/>
                <w:b w:val="0"/>
                <w:bCs w:val="0"/>
                <w:color w:val="4A4A4A"/>
                <w:sz w:val="22"/>
                <w:szCs w:val="22"/>
                <w:lang w:eastAsia="en-GB"/>
              </w:rPr>
              <w:t>Directly affected:</w:t>
            </w:r>
            <w:r>
              <w:rPr>
                <w:rFonts w:hint="default" w:eastAsia="Times New Roman" w:cs="Times New Roman"/>
                <w:b/>
                <w:bCs/>
                <w:color w:val="4A4A4A"/>
                <w:sz w:val="22"/>
                <w:szCs w:val="22"/>
                <w:lang w:eastAsia="en-GB"/>
              </w:rPr>
              <w:t xml:space="preserve">  </w:t>
            </w:r>
            <w:r>
              <w:rPr>
                <w:rFonts w:hint="default"/>
                <w:sz w:val="22"/>
                <w:szCs w:val="22"/>
              </w:rPr>
              <w:t xml:space="preserve">The number of people </w:t>
            </w:r>
            <w:r>
              <w:rPr>
                <w:rFonts w:hint="default"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 xml:space="preserve">rganisation (NADMO) </w:t>
            </w:r>
            <w:r>
              <w:rPr>
                <w:rFonts w:hint="default"/>
              </w:rPr>
              <w:t>Annual report</w:t>
            </w:r>
          </w:p>
          <w:p>
            <w:pPr>
              <w:keepNext w:val="0"/>
              <w:keepLines w:val="0"/>
              <w:widowControl/>
              <w:suppressLineNumbers w:val="0"/>
              <w:spacing w:before="0" w:beforeAutospacing="0" w:afterAutospacing="0"/>
              <w:ind w:left="0" w:right="0"/>
              <w:rPr>
                <w:rFonts w:hint="default"/>
              </w:rPr>
            </w:pPr>
            <w:r>
              <w:rPr>
                <w:rFonts w:hint="default"/>
                <w:lang w:val="en-CA"/>
              </w:rPr>
              <w:t>Ghana’s Voluntary National Review Report (VNR), 2022</w:t>
            </w:r>
            <w:r>
              <w:rPr>
                <w:rFonts w:hint="default"/>
              </w:rP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655612"/>
            <w:bookmarkStart w:id="21" w:name="_Toc37932747"/>
            <w:bookmarkStart w:id="22" w:name="_Toc36813075"/>
            <w:bookmarkStart w:id="23" w:name="_Toc36812688"/>
            <w:bookmarkStart w:id="24" w:name="_Toc36812575"/>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The indicator is based on the </w:t>
            </w:r>
            <w:r>
              <w:rPr>
                <w:rFonts w:hint="default" w:cstheme="minorHAnsi"/>
              </w:rPr>
              <w:fldChar w:fldCharType="begin"/>
            </w:r>
            <w:r>
              <w:rPr>
                <w:rFonts w:hint="default" w:cstheme="minorHAnsi"/>
              </w:rPr>
              <w:instrText xml:space="preserve"> HYPERLINK "https://www.undrr.org/publication/sendai-framework-disaster-risk-reduction-2015-2030" </w:instrText>
            </w:r>
            <w:r>
              <w:rPr>
                <w:rFonts w:hint="default" w:cstheme="minorHAnsi"/>
              </w:rPr>
              <w:fldChar w:fldCharType="separate"/>
            </w:r>
            <w:r>
              <w:rPr>
                <w:rStyle w:val="18"/>
                <w:rFonts w:hint="default" w:cstheme="minorHAnsi"/>
              </w:rPr>
              <w:t>Sendai Framework for Disaster Risk Reduction 2015-2030</w:t>
            </w:r>
            <w:r>
              <w:rPr>
                <w:rFonts w:hint="default" w:cstheme="minorHAnsi"/>
              </w:rPr>
              <w:fldChar w:fldCharType="end"/>
            </w:r>
            <w:r>
              <w:rPr>
                <w:rFonts w:hint="default" w:cstheme="minorHAnsi"/>
              </w:rPr>
              <w:t xml:space="preserve"> which was adopted by UN Member States in March 2015 as a global policy of disaster risk reduction. Two key targets of the framework are:</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 xml:space="preserve"> (i) To substantially reduce global disaster mortality by 2030, aiming to lower the average global figure per 100,000 global mortality between 2020 and 2030 compared with 2005-2015” and </w:t>
            </w:r>
          </w:p>
          <w:p>
            <w:pPr>
              <w:keepNext w:val="0"/>
              <w:keepLines w:val="0"/>
              <w:widowControl/>
              <w:suppressLineNumbers w:val="0"/>
              <w:autoSpaceDE w:val="0"/>
              <w:autoSpaceDN w:val="0"/>
              <w:adjustRightInd w:val="0"/>
              <w:spacing w:before="0" w:beforeAutospacing="0" w:after="0" w:afterAutospacing="0" w:line="240" w:lineRule="auto"/>
              <w:ind w:left="0" w:right="0"/>
              <w:rPr>
                <w:rFonts w:hint="default" w:cstheme="minorHAnsi"/>
              </w:rPr>
            </w:pPr>
            <w:r>
              <w:rPr>
                <w:rFonts w:hint="default" w:cstheme="minorHAnsi"/>
              </w:rPr>
              <w:t>(ii) To substantially reduce the number of affected people globally by 2030, aiming to lower the average global figure per 100,000 between 2020 and 2030 compared with 2005-2015”.</w:t>
            </w:r>
          </w:p>
          <w:p>
            <w:pPr>
              <w:pStyle w:val="19"/>
              <w:keepNext w:val="0"/>
              <w:keepLines w:val="0"/>
              <w:widowControl/>
              <w:suppressLineNumbers w:val="0"/>
              <w:spacing w:line="256" w:lineRule="auto"/>
              <w:ind w:left="0" w:firstLine="0"/>
              <w:rPr>
                <w:rFonts w:hint="default"/>
              </w:rPr>
            </w:pPr>
            <w:r>
              <w:rPr>
                <w:rFonts w:hint="default"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numPr>
                <w:ilvl w:val="0"/>
                <w:numId w:val="0"/>
              </w:numPr>
              <w:suppressLineNumbers w:val="0"/>
              <w:spacing w:before="0" w:beforeAutospacing="0" w:afterAutospacing="0"/>
              <w:ind w:left="0" w:leftChars="0" w:right="0"/>
              <w:rPr>
                <w:rFonts w:hint="default"/>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7" w:afterAutospacing="0" w:line="256" w:lineRule="auto"/>
              <w:ind w:left="0" w:right="0"/>
              <w:jc w:val="left"/>
              <w:rPr>
                <w:rFonts w:hint="default"/>
                <w:sz w:val="22"/>
                <w:szCs w:val="22"/>
              </w:rPr>
            </w:pP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024"/>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4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833"/>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71EE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31FE4"/>
    <w:rsid w:val="1FB11F89"/>
    <w:rsid w:val="40593326"/>
    <w:rsid w:val="46DF7F90"/>
    <w:rsid w:val="554E5C35"/>
    <w:rsid w:val="632B026D"/>
    <w:rsid w:val="738768C9"/>
    <w:rsid w:val="77460E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395BC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215578</Words>
  <Characters>1228799</Characters>
  <Lines>10239</Lines>
  <Paragraphs>2882</Paragraphs>
  <TotalTime>4</TotalTime>
  <ScaleCrop>false</ScaleCrop>
  <LinksUpToDate>false</LinksUpToDate>
  <CharactersWithSpaces>1441495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2021-11-10T10:24:00Z</dcterms:created>
  <dc:creator>Fanning, Stephen B (JMD)</dc:creator>
  <cp:lastModifiedBy>Doreen</cp:lastModifiedBy>
  <cp:lastPrinted>2020-04-16T14:23:00Z</cp:lastPrinted>
  <dcterms:modified xsi:type="dcterms:W3CDTF">2022-11-15T18:00:05Z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AABD8D7B353449A4A2090DCBE5A777FD</vt:lpwstr>
  </property>
</Properties>
</file>