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13: Take urgent action to</w:t>
            </w:r>
            <w:bookmarkStart w:id="38" w:name="_GoBack"/>
            <w:bookmarkEnd w:id="38"/>
            <w:r>
              <w:rPr>
                <w:rFonts w:hint="default"/>
              </w:rPr>
              <w:t xml:space="preserve">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13.1: Strengthen resilience and adaptive capacity to climate-related hazards and natural disasters in all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13.1.2 Relevant Ghanaian policies with national disaster risk reduction strategies in line with the Sendai Framework for Disaster Risk Reduction 2015–2030</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575"/>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7B74183"/>
    <w:rsid w:val="35EE64A7"/>
    <w:rsid w:val="456E5EAE"/>
    <w:rsid w:val="617B5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3</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2022-10-25T21:06:28Z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A0609C71805A4350A84F447D618F33FB</vt:lpwstr>
  </property>
</Properties>
</file>