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15.2.1 Proportion of forest area with a long-term management plan [15.2.1] (AG</w:t>
          </w:r>
          <w:bookmarkStart w:id="38" w:name="_GoBack"/>
          <w:bookmarkEnd w:id="38"/>
          <w:r>
            <w:rPr>
              <w:rFonts w:asciiTheme="minorHAnsi" w:hAnsiTheme="minorHAnsi" w:eastAsiaTheme="minorHAnsi" w:cstheme="minorBidi"/>
              <w:sz w:val="22"/>
              <w:szCs w:val="22"/>
              <w:lang w:val="en-US" w:eastAsia="en-US" w:bidi="ar-SA"/>
            </w:rPr>
            <w:t>_LND_FRSTMGT)</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15: Protect, restore and promote sustainable use of terrestrial ecosystems, sustainably manage forests, combat desertification, and halt and reverse land degradation and halt biodiversity loss</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15.2: By 2020, promote the implementation of sustainable management of all types of forests, halt deforestation, restore degraded forests and substantially increase afforestation and reforestation globally</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15.2.1 Relevant Ghanaian policies and strategies on forest and wildlife development geared towards sustainable forest management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8B043D"/>
    <w:rsid w:val="079624FD"/>
    <w:rsid w:val="089716ED"/>
    <w:rsid w:val="17985ABB"/>
    <w:rsid w:val="226202D0"/>
    <w:rsid w:val="284607C6"/>
    <w:rsid w:val="29874B6B"/>
    <w:rsid w:val="34824CA8"/>
    <w:rsid w:val="3FB54248"/>
    <w:rsid w:val="5E455DA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6</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2022-10-25T21:24:44Z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6221B6E9B325442F88E30BACFFBFB904</vt:lpwstr>
  </property>
</Properties>
</file>