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5.6.2 Countries with laws and regulations that guarantee full and equal access to women and men aged 15 years and older to sexual and reproductive health care, information and education (1 = YES; 0 = ... (SG_RHC_ACCS)</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2571"/>
            <w:bookmarkStart w:id="3" w:name="_Toc36655608"/>
            <w:bookmarkStart w:id="4" w:name="_Toc37932743"/>
            <w:bookmarkStart w:id="5" w:name="_Toc36812684"/>
            <w:bookmarkStart w:id="6" w:name="_Toc368130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5: Achieve gender equality and empower all women and girls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5.6: Ensure universal access to sexual and reproductive health and reproductive rights as agreed in accordance with the Programme of Action of the International Conference on Population and Development and the Beijing Platform for Action and the outcome documents of their review conferences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5.6.2 Rele</w:t>
            </w:r>
            <w:bookmarkStart w:id="37" w:name="_GoBack"/>
            <w:bookmarkEnd w:id="37"/>
            <w:r>
              <w:t>vant Ghanaian laws and regulations that guarantee full and equal access to women and men aged 15 years and older to sexual and reproductive health care, information and education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6813072"/>
            <w:bookmarkStart w:id="9" w:name="_Toc36655609"/>
            <w:bookmarkStart w:id="10" w:name="_Toc37932744"/>
            <w:bookmarkStart w:id="11" w:name="_Toc36812685"/>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812573"/>
            <w:bookmarkStart w:id="14" w:name="_Toc37932745"/>
            <w:bookmarkStart w:id="15" w:name="_Toc36655610"/>
            <w:bookmarkStart w:id="16" w:name="_Toc36812686"/>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688"/>
            <w:bookmarkStart w:id="20" w:name="_Toc36812575"/>
            <w:bookmarkStart w:id="21" w:name="_Toc37932747"/>
            <w:bookmarkStart w:id="22" w:name="_Toc36813075"/>
            <w:bookmarkStart w:id="23" w:name="_Toc36655612"/>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655613"/>
            <w:bookmarkStart w:id="27" w:name="_Toc36812689"/>
            <w:bookmarkStart w:id="28" w:name="_Toc37932748"/>
            <w:r>
              <w:rPr>
                <w:sz w:val="32"/>
                <w:szCs w:val="32"/>
              </w:rPr>
              <w:t>5. Data availability and disaggregation</w:t>
            </w:r>
            <w:bookmarkEnd w:id="24"/>
            <w:bookmarkEnd w:id="25"/>
            <w:bookmarkEnd w:id="26"/>
            <w:bookmarkEnd w:id="27"/>
            <w:bookmarkEnd w:id="28"/>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05002E5"/>
    <w:rsid w:val="17985ABB"/>
    <w:rsid w:val="20A75D5B"/>
    <w:rsid w:val="34824CA8"/>
    <w:rsid w:val="39BD1573"/>
    <w:rsid w:val="3FB54248"/>
    <w:rsid w:val="43E03DEF"/>
    <w:rsid w:val="617B58CA"/>
    <w:rsid w:val="779C1699"/>
    <w:rsid w:val="77E83BB0"/>
    <w:rsid w:val="7C4D0EAE"/>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2</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2022-10-25T20:32:03Z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6A127A62A49541CD89BC4903605C5463</vt:lpwstr>
  </property>
</Properties>
</file>