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2"/>
        <w:jc w:val="center"/>
        <w:rPr>
          <w:rFonts w:eastAsiaTheme="minorHAnsi"/>
          <w:sz w:val="48"/>
          <w:szCs w:val="48"/>
        </w:rPr>
      </w:pPr>
      <w:r>
        <w:rPr>
          <w:rFonts w:eastAsiaTheme="minorHAnsi"/>
          <w:sz w:val="48"/>
          <w:szCs w:val="48"/>
        </w:rPr>
        <w:t>SDG Metadata Authoring Tool Template</w:t>
      </w:r>
    </w:p>
    <w:p>
      <w:pPr>
        <w:pStyle w:val="20"/>
        <w:jc w:val="center"/>
      </w:pPr>
      <w: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7"/>
          </w:pPr>
          <w:r>
            <w:t>Contents</w:t>
          </w:r>
        </w:p>
        <w:p>
          <w:pPr>
            <w:pStyle w:val="23"/>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4"/>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8"/>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8"/>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permStart w:id="1" w:edGrp="everyone"/>
          <w:bookmarkStart w:id="1" w:name="_Hlk53861140"/>
          <w:r>
            <w:rPr>
              <w:rFonts w:asciiTheme="minorHAnsi" w:hAnsiTheme="minorHAnsi" w:eastAsiaTheme="minorHAnsi" w:cstheme="minorBidi"/>
              <w:sz w:val="22"/>
              <w:szCs w:val="22"/>
              <w:lang w:val="en-US" w:eastAsia="en-US" w:bidi="ar-SA"/>
            </w:rPr>
            <w:t>0.0.0 National series not in global framework (_)</w:t>
          </w:r>
          <w:permEnd w:id="1"/>
        </w:p>
      </w:sdtContent>
    </w:sdt>
    <w:bookmarkEnd w:id="1"/>
    <w:p>
      <w:pPr>
        <w:spacing w:after="0"/>
        <w:rPr>
          <w:sz w:val="26"/>
          <w:szCs w:val="26"/>
        </w:rPr>
      </w:pPr>
    </w:p>
    <w:p>
      <w:pPr>
        <w:spacing w:after="0"/>
        <w:rPr>
          <w:sz w:val="26"/>
          <w:szCs w:val="26"/>
        </w:rPr>
      </w:pPr>
      <w:r>
        <w:rPr>
          <w:sz w:val="26"/>
          <w:szCs w:val="26"/>
        </w:rPr>
        <w:object>
          <v:shape id="_x0000_i1025" o:spt="201" type="#_x0000_t201" style="height:24pt;width:72pt;" o:ole="t" filled="f" o:preferrelative="t" stroked="f" coordsize="21600,21600">
            <v:path/>
            <v:fill on="f" focussize="0,0"/>
            <v:stroke on="f"/>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type="#_x0000_t201" style="height:24pt;width:91.5pt;" o:ole="t" filled="f" o:preferrelative="t" stroked="f" coordsize="21600,21600">
            <v:path/>
            <v:fill on="f" focussize="0,0"/>
            <v:stroke on="f"/>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object>
          <v:shape id="_x0000_i1027" o:spt="201" type="#_x0000_t201" style="height:24pt;width:139.85pt;" o:ole="t" filled="f" o:preferrelative="t" stroked="f" coordsize="21600,21600">
            <v:path/>
            <v:fill on="f" focussize="0,0"/>
            <v:stroke on="f"/>
            <v:imagedata r:id="rId13" o:title=""/>
            <o:lock v:ext="edit" aspectratio="t"/>
            <w10:wrap type="none"/>
            <w10:anchorlock/>
          </v:shape>
          <w:control r:id="rId12" w:name="ImportSdmxDsd" w:shapeid="_x0000_i1027"/>
        </w:object>
      </w:r>
      <w:r>
        <w:t xml:space="preserve">             </w:t>
      </w:r>
      <w:r>
        <w:object>
          <v:shape id="_x0000_i1028" o:spt="201" type="#_x0000_t201" style="height:24pt;width:199.85pt;" o:ole="t" filled="f" o:preferrelative="t" stroked="f" coordsize="21600,21600">
            <v:path/>
            <v:fill on="f" focussize="0,0"/>
            <v:stroke on="f"/>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8"/>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widowControl/>
              <w:suppressLineNumbers w:val="0"/>
              <w:spacing w:beforeAutospacing="0" w:afterAutospacing="0"/>
              <w:ind w:left="0" w:right="0"/>
              <w:rPr>
                <w:rFonts w:hint="default" w:ascii="Times New Roman" w:hAnsi="Times New Roman"/>
                <w:sz w:val="32"/>
                <w:szCs w:val="32"/>
              </w:rPr>
            </w:pPr>
            <w:bookmarkStart w:id="3" w:name="_Toc36812571"/>
            <w:bookmarkStart w:id="4" w:name="_Toc36655608"/>
            <w:bookmarkStart w:id="5" w:name="_Toc36812684"/>
            <w:bookmarkStart w:id="6" w:name="_Toc37932743"/>
            <w:bookmarkStart w:id="7" w:name="_Toc36813071"/>
            <w:r>
              <w:rPr>
                <w:rFonts w:hint="default"/>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i/>
                <w:iCs/>
                <w:color w:val="000000"/>
              </w:rPr>
            </w:pPr>
            <w:r>
              <w:rPr>
                <w:rFonts w:hint="default"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ermStart w:id="4" w:edGrp="everyone" w:colFirst="1" w:colLast="1"/>
            <w:r>
              <w:rPr>
                <w:rFonts w:hint="default"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55" w:right="0"/>
              <w:rPr>
                <w:rFonts w:hint="default" w:ascii="Calibri" w:hAnsi="Calibri" w:eastAsia="Times New Roman" w:cs="Calibri"/>
                <w:color w:val="000000"/>
              </w:rPr>
            </w:pPr>
            <w:permStart w:id="5" w:edGrp="everyone" w:colFirst="1" w:colLast="1"/>
            <w:r>
              <w:rPr>
                <w:rFonts w:hint="default"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keepNext w:val="0"/>
              <w:keepLines w:val="0"/>
              <w:widowControl/>
              <w:suppressLineNumbers w:val="0"/>
              <w:shd w:val="clear" w:color="auto" w:fill="F5F5F5"/>
              <w:spacing w:before="0" w:beforeAutospacing="0" w:after="0" w:afterAutospacing="0" w:line="240" w:lineRule="auto"/>
              <w:ind w:left="0" w:right="0"/>
              <w:outlineLvl w:val="1"/>
              <w:rPr>
                <w:rFonts w:hint="default"/>
                <w:lang w:val="en-CA"/>
              </w:rPr>
            </w:pPr>
            <w:r>
              <w:rPr>
                <w:rFonts w:hint="default" w:eastAsia="Times New Roman" w:cs="Arial"/>
                <w:color w:val="333333"/>
                <w:sz w:val="22"/>
                <w:szCs w:val="22"/>
                <w:lang w:eastAsia="en-GB"/>
              </w:rPr>
              <w:t>Goal 1</w:t>
            </w:r>
            <w:r>
              <w:rPr>
                <w:rFonts w:hint="default" w:eastAsia="Times New Roman" w:cs="Arial"/>
                <w:color w:val="333333"/>
                <w:sz w:val="22"/>
                <w:szCs w:val="22"/>
                <w:lang w:val="en-CA" w:eastAsia="en-GB"/>
              </w:rPr>
              <w:t>1</w:t>
            </w:r>
            <w:r>
              <w:rPr>
                <w:rFonts w:hint="default" w:eastAsia="Times New Roman" w:cs="Arial"/>
                <w:color w:val="333333"/>
                <w:sz w:val="22"/>
                <w:szCs w:val="22"/>
                <w:lang w:eastAsia="en-GB"/>
              </w:rPr>
              <w:t xml:space="preserve">: </w:t>
            </w:r>
            <w:r>
              <w:rPr>
                <w:rFonts w:hint="default" w:eastAsia="Times New Roman" w:cs="Arial"/>
                <w:color w:val="333333"/>
                <w:sz w:val="22"/>
                <w:szCs w:val="22"/>
                <w:lang w:val="en-CA" w:eastAsia="en-GB"/>
              </w:rPr>
              <w:t>Make cities and human settlements inclusive, safe, resilient and sustainable</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55" w:right="0"/>
              <w:rPr>
                <w:rFonts w:hint="default" w:ascii="Calibri" w:hAnsi="Calibri" w:eastAsia="Times New Roman" w:cs="Calibri"/>
                <w:color w:val="000000"/>
              </w:rPr>
            </w:pPr>
            <w:permStart w:id="6" w:edGrp="everyone" w:colFirst="1" w:colLast="1"/>
            <w:r>
              <w:rPr>
                <w:rFonts w:hint="default"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keepNext w:val="0"/>
              <w:keepLines w:val="0"/>
              <w:widowControl/>
              <w:suppressLineNumbers w:val="0"/>
              <w:shd w:val="clear" w:color="auto" w:fill="F5F5F5"/>
              <w:spacing w:before="0" w:beforeAutospacing="0" w:after="0" w:afterAutospacing="0" w:line="240" w:lineRule="auto"/>
              <w:ind w:left="0" w:right="0"/>
              <w:outlineLvl w:val="1"/>
              <w:rPr>
                <w:rFonts w:hint="default"/>
                <w:lang w:val="en-CA"/>
              </w:rPr>
            </w:pPr>
            <w:r>
              <w:rPr>
                <w:rFonts w:hint="default" w:eastAsia="Times New Roman" w:cs="Arial"/>
                <w:color w:val="333333"/>
                <w:sz w:val="22"/>
                <w:szCs w:val="22"/>
                <w:lang w:eastAsia="en-GB"/>
              </w:rPr>
              <w:t>Target 1</w:t>
            </w:r>
            <w:r>
              <w:rPr>
                <w:rFonts w:hint="default" w:eastAsia="Times New Roman" w:cs="Arial"/>
                <w:color w:val="333333"/>
                <w:sz w:val="22"/>
                <w:szCs w:val="22"/>
                <w:lang w:val="en-CA" w:eastAsia="en-GB"/>
              </w:rPr>
              <w:t>1</w:t>
            </w:r>
            <w:r>
              <w:rPr>
                <w:rFonts w:hint="default" w:eastAsia="Times New Roman" w:cs="Arial"/>
                <w:color w:val="333333"/>
                <w:sz w:val="22"/>
                <w:szCs w:val="22"/>
                <w:lang w:eastAsia="en-GB"/>
              </w:rPr>
              <w:t>.</w:t>
            </w:r>
            <w:r>
              <w:rPr>
                <w:rFonts w:hint="default" w:eastAsia="Times New Roman" w:cs="Arial"/>
                <w:color w:val="333333"/>
                <w:sz w:val="22"/>
                <w:szCs w:val="22"/>
                <w:lang w:val="en-CA" w:eastAsia="en-GB"/>
              </w:rPr>
              <w:t>5</w:t>
            </w:r>
            <w:r>
              <w:rPr>
                <w:rFonts w:hint="default" w:eastAsia="Times New Roman" w:cs="Arial"/>
                <w:color w:val="333333"/>
                <w:sz w:val="22"/>
                <w:szCs w:val="22"/>
                <w:lang w:eastAsia="en-GB"/>
              </w:rPr>
              <w:t xml:space="preserve">: </w:t>
            </w:r>
            <w:r>
              <w:rPr>
                <w:rFonts w:hint="default" w:eastAsia="Times New Roman" w:cs="Arial"/>
                <w:color w:val="333333"/>
                <w:sz w:val="22"/>
                <w:szCs w:val="22"/>
                <w:lang w:val="en-CA" w:eastAsia="en-GB"/>
              </w:rPr>
              <w:t>By 2030, significantly reduce the number of deaths and the number of people affected and substantially decrease the direct economic losses relative to global gross domestic product caused by disasters, including water-related disasters, with a focus on protecting the poor and people in vulnerable situations</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55" w:right="0"/>
              <w:rPr>
                <w:rFonts w:hint="default" w:ascii="Calibri" w:hAnsi="Calibri" w:eastAsia="Times New Roman" w:cs="Calibri"/>
                <w:color w:val="000000"/>
              </w:rPr>
            </w:pPr>
            <w:permStart w:id="7" w:edGrp="everyone" w:colFirst="1" w:colLast="1"/>
            <w:r>
              <w:rPr>
                <w:rFonts w:hint="default"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keepNext w:val="0"/>
              <w:keepLines w:val="0"/>
              <w:widowControl/>
              <w:suppressLineNumbers w:val="0"/>
              <w:shd w:val="clear" w:color="auto" w:fill="F5F5F5"/>
              <w:spacing w:before="0" w:beforeAutospacing="0" w:after="0" w:afterAutospacing="0" w:line="240" w:lineRule="auto"/>
              <w:ind w:left="0" w:right="0"/>
              <w:outlineLvl w:val="1"/>
              <w:rPr>
                <w:rFonts w:hint="default" w:eastAsia="Times New Roman" w:cs="Arial"/>
                <w:lang w:eastAsia="en-GB"/>
              </w:rPr>
            </w:pPr>
            <w:r>
              <w:rPr>
                <w:rFonts w:hint="default" w:eastAsia="Times New Roman" w:cs="Arial"/>
                <w:lang w:eastAsia="en-GB"/>
              </w:rPr>
              <w:t>Indicator 1</w:t>
            </w:r>
            <w:r>
              <w:rPr>
                <w:rFonts w:hint="default" w:eastAsia="Times New Roman" w:cs="Arial"/>
                <w:lang w:val="en-CA" w:eastAsia="en-GB"/>
              </w:rPr>
              <w:t>1</w:t>
            </w:r>
            <w:r>
              <w:rPr>
                <w:rFonts w:hint="default" w:eastAsia="Times New Roman" w:cs="Arial"/>
                <w:lang w:eastAsia="en-GB"/>
              </w:rPr>
              <w:t>.</w:t>
            </w:r>
            <w:r>
              <w:rPr>
                <w:rFonts w:hint="default" w:eastAsia="Times New Roman" w:cs="Arial"/>
                <w:lang w:val="en-CA" w:eastAsia="en-GB"/>
              </w:rPr>
              <w:t>5</w:t>
            </w:r>
            <w:r>
              <w:rPr>
                <w:rFonts w:hint="default" w:eastAsia="Times New Roman" w:cs="Arial"/>
                <w:lang w:eastAsia="en-GB"/>
              </w:rPr>
              <w:t>.1: Number of deaths, missing persons and directly affected persons attributed to disasters per 100,000 population</w:t>
            </w: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55" w:right="0"/>
              <w:rPr>
                <w:rFonts w:hint="default" w:ascii="Calibri" w:hAnsi="Calibri" w:eastAsia="Times New Roman" w:cs="Calibri"/>
                <w:color w:val="000000"/>
              </w:rPr>
            </w:pPr>
            <w:permStart w:id="8" w:edGrp="everyone" w:colFirst="1" w:colLast="1"/>
            <w:r>
              <w:rPr>
                <w:rFonts w:hint="default"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55" w:right="0"/>
              <w:rPr>
                <w:rFonts w:hint="default" w:ascii="Calibri" w:hAnsi="Calibri" w:eastAsia="Times New Roman" w:cs="Calibri"/>
                <w:color w:val="000000"/>
              </w:rPr>
            </w:pPr>
            <w:permStart w:id="9" w:edGrp="everyone" w:colFirst="1" w:colLast="1"/>
            <w:r>
              <w:rPr>
                <w:rFonts w:hint="default"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55" w:right="0"/>
              <w:rPr>
                <w:rFonts w:hint="default" w:ascii="Calibri" w:hAnsi="Calibri" w:eastAsia="Times New Roman" w:cs="Calibri"/>
                <w:color w:val="000000"/>
              </w:rPr>
            </w:pPr>
            <w:permStart w:id="10" w:edGrp="everyone" w:colFirst="1" w:colLast="1"/>
            <w:r>
              <w:rPr>
                <w:rFonts w:hint="default"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55" w:right="0"/>
              <w:rPr>
                <w:rFonts w:hint="default" w:ascii="Calibri" w:hAnsi="Calibri" w:eastAsia="Times New Roman" w:cs="Calibri"/>
                <w:color w:val="000000"/>
              </w:rPr>
            </w:pPr>
            <w:permStart w:id="11" w:edGrp="everyone" w:colFirst="1" w:colLast="1"/>
            <w:r>
              <w:rPr>
                <w:rFonts w:hint="default"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pPr>
              <w:keepNext w:val="0"/>
              <w:keepLines w:val="0"/>
              <w:widowControl/>
              <w:suppressLineNumbers w:val="0"/>
              <w:shd w:val="clear" w:color="auto" w:fill="FFFFFF"/>
              <w:spacing w:before="0" w:beforeAutospacing="0" w:after="0" w:afterAutospacing="0" w:line="336" w:lineRule="atLeast"/>
              <w:ind w:left="0" w:right="0"/>
              <w:rPr>
                <w:rFonts w:hint="default"/>
              </w:rPr>
            </w:pPr>
            <w:r>
              <w:rPr>
                <w:rFonts w:hint="default" w:eastAsia="Times New Roman" w:cs="Arial"/>
                <w:color w:val="4A4A4A"/>
                <w:sz w:val="22"/>
                <w:szCs w:val="22"/>
                <w:lang w:eastAsia="en-GB"/>
              </w:rPr>
              <w:t>United Nations Office for Disaster Reduction (UNISDR)</w:t>
            </w:r>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widowControl/>
              <w:suppressLineNumbers w:val="0"/>
              <w:spacing w:beforeAutospacing="0" w:afterAutospacing="0"/>
              <w:ind w:left="0" w:right="0"/>
              <w:rPr>
                <w:rFonts w:hint="default" w:ascii="Times New Roman" w:hAnsi="Times New Roman"/>
                <w:sz w:val="32"/>
                <w:szCs w:val="32"/>
              </w:rPr>
            </w:pPr>
            <w:bookmarkStart w:id="8" w:name="_Toc37932744"/>
            <w:bookmarkStart w:id="9" w:name="_Toc36813072"/>
            <w:bookmarkStart w:id="10" w:name="_Toc36812572"/>
            <w:bookmarkStart w:id="11" w:name="_Toc36812685"/>
            <w:bookmarkStart w:id="12" w:name="_Toc36655609"/>
            <w:r>
              <w:rPr>
                <w:rFonts w:hint="default"/>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ermStart w:id="12" w:edGrp="everyone" w:colFirst="1" w:colLast="1"/>
            <w:r>
              <w:rPr>
                <w:rFonts w:hint="default"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13" w:edGrp="everyone" w:colFirst="1" w:colLast="1"/>
            <w:r>
              <w:rPr>
                <w:rFonts w:hint="default"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lang w:val="en-CA"/>
              </w:rPr>
            </w:pP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14" w:edGrp="everyone" w:colFirst="1" w:colLast="1"/>
            <w:r>
              <w:rPr>
                <w:rFonts w:hint="default"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15" w:edGrp="everyone" w:colFirst="1" w:colLast="1"/>
            <w:r>
              <w:rPr>
                <w:rFonts w:hint="default"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16" w:edGrp="everyone" w:colFirst="1" w:colLast="1"/>
            <w:r>
              <w:rPr>
                <w:rFonts w:hint="default"/>
              </w:rPr>
              <w:t>1</w:t>
            </w:r>
            <w:r>
              <w:rPr>
                <w:rFonts w:hint="default" w:ascii="Calibri" w:hAnsi="Calibri" w:eastAsia="Times New Roman" w:cs="Calibri"/>
              </w:rPr>
              <w:t>.d.</w:t>
            </w:r>
            <w:r>
              <w:rPr>
                <w:rFonts w:hint="default"/>
              </w:rPr>
              <w:t xml:space="preserve"> Contact person function</w:t>
            </w:r>
          </w:p>
        </w:tc>
        <w:tc>
          <w:tcPr>
            <w:tcW w:w="3210"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17" w:edGrp="everyone" w:colFirst="1" w:colLast="1"/>
            <w:r>
              <w:rPr>
                <w:rFonts w:hint="default"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18" w:edGrp="everyone" w:colFirst="1" w:colLast="1"/>
            <w:r>
              <w:rPr>
                <w:rFonts w:hint="default"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19" w:edGrp="everyone" w:colFirst="1" w:colLast="1"/>
            <w:r>
              <w:rPr>
                <w:rFonts w:hint="default"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widowControl/>
              <w:suppressLineNumbers w:val="0"/>
              <w:spacing w:beforeAutospacing="0" w:afterAutospacing="0"/>
              <w:ind w:left="0" w:right="0"/>
              <w:rPr>
                <w:rFonts w:hint="default"/>
                <w:sz w:val="32"/>
                <w:szCs w:val="32"/>
              </w:rPr>
            </w:pPr>
            <w:bookmarkStart w:id="13" w:name="_Toc36812573"/>
            <w:bookmarkStart w:id="14" w:name="_Toc36655610"/>
            <w:bookmarkStart w:id="15" w:name="_Toc37932745"/>
            <w:bookmarkStart w:id="16" w:name="_Toc36812686"/>
            <w:bookmarkStart w:id="17" w:name="_Toc36813073"/>
            <w:r>
              <w:rPr>
                <w:rFonts w:hint="default"/>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ermStart w:id="20" w:edGrp="everyone" w:colFirst="1" w:colLast="1"/>
            <w:r>
              <w:rPr>
                <w:rFonts w:hint="default"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21" w:edGrp="everyone" w:colFirst="1" w:colLast="1"/>
            <w:r>
              <w:rPr>
                <w:rFonts w:hint="default"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keepNext w:val="0"/>
              <w:keepLines w:val="0"/>
              <w:widowControl/>
              <w:suppressLineNumbers w:val="0"/>
              <w:shd w:val="clear" w:color="auto" w:fill="FFFFFF"/>
              <w:spacing w:before="0" w:beforeAutospacing="0" w:after="0" w:afterAutospacing="0"/>
              <w:ind w:left="0" w:right="0"/>
              <w:jc w:val="both"/>
              <w:rPr>
                <w:rFonts w:hint="default" w:eastAsia="Times New Roman" w:cs="Times New Roman"/>
                <w:b/>
                <w:bCs/>
                <w:color w:val="4A4A4A"/>
                <w:sz w:val="22"/>
                <w:szCs w:val="22"/>
                <w:lang w:eastAsia="en-GB"/>
              </w:rPr>
            </w:pPr>
            <w:r>
              <w:rPr>
                <w:rFonts w:hint="default" w:eastAsia="Times New Roman" w:cs="Times New Roman"/>
                <w:b/>
                <w:bCs/>
                <w:color w:val="4A4A4A"/>
                <w:sz w:val="22"/>
                <w:szCs w:val="22"/>
                <w:lang w:eastAsia="en-GB"/>
              </w:rPr>
              <w:t>Definition:</w:t>
            </w:r>
          </w:p>
          <w:p>
            <w:pPr>
              <w:keepNext w:val="0"/>
              <w:keepLines w:val="0"/>
              <w:widowControl/>
              <w:suppressLineNumbers w:val="0"/>
              <w:shd w:val="clear" w:color="auto" w:fill="FFFFFF"/>
              <w:spacing w:before="0" w:beforeAutospacing="0" w:after="0" w:afterAutospacing="0"/>
              <w:ind w:left="0" w:right="0"/>
              <w:jc w:val="both"/>
              <w:rPr>
                <w:rFonts w:hint="default" w:eastAsia="Times New Roman" w:cs="Times New Roman"/>
                <w:color w:val="4A4A4A"/>
                <w:sz w:val="22"/>
                <w:szCs w:val="22"/>
                <w:lang w:eastAsia="en-GB"/>
              </w:rPr>
            </w:pPr>
            <w:r>
              <w:rPr>
                <w:rFonts w:hint="default" w:eastAsia="Times New Roman" w:cs="Times New Roman"/>
                <w:color w:val="4A4A4A"/>
                <w:sz w:val="22"/>
                <w:szCs w:val="22"/>
                <w:lang w:eastAsia="en-GB"/>
              </w:rPr>
              <w:t xml:space="preserve">This indicator measures the number of people who died, went missing or were directly affected by disasters per 100,000 population. </w:t>
            </w:r>
          </w:p>
          <w:p>
            <w:pPr>
              <w:keepNext w:val="0"/>
              <w:keepLines w:val="0"/>
              <w:widowControl/>
              <w:suppressLineNumbers w:val="0"/>
              <w:shd w:val="clear" w:color="auto" w:fill="FFFFFF"/>
              <w:spacing w:before="0" w:beforeAutospacing="0" w:after="0" w:afterAutospacing="0"/>
              <w:ind w:left="0" w:right="0"/>
              <w:jc w:val="both"/>
              <w:rPr>
                <w:rFonts w:hint="default" w:eastAsia="Times New Roman" w:cs="Times New Roman"/>
                <w:b/>
                <w:bCs/>
                <w:color w:val="4A4A4A"/>
                <w:sz w:val="22"/>
                <w:szCs w:val="22"/>
                <w:lang w:eastAsia="en-GB"/>
              </w:rPr>
            </w:pPr>
          </w:p>
          <w:p>
            <w:pPr>
              <w:keepNext w:val="0"/>
              <w:keepLines w:val="0"/>
              <w:widowControl/>
              <w:suppressLineNumbers w:val="0"/>
              <w:shd w:val="clear" w:color="auto" w:fill="FFFFFF"/>
              <w:spacing w:before="0" w:beforeAutospacing="0" w:after="0" w:afterAutospacing="0"/>
              <w:ind w:left="0" w:right="0"/>
              <w:jc w:val="both"/>
              <w:rPr>
                <w:rFonts w:hint="default" w:eastAsia="Times New Roman" w:cs="Times New Roman"/>
                <w:b/>
                <w:bCs/>
                <w:color w:val="4A4A4A"/>
                <w:sz w:val="22"/>
                <w:szCs w:val="22"/>
                <w:lang w:eastAsia="en-GB"/>
              </w:rPr>
            </w:pPr>
            <w:r>
              <w:rPr>
                <w:rFonts w:hint="default" w:eastAsia="Times New Roman" w:cs="Times New Roman"/>
                <w:b/>
                <w:bCs/>
                <w:color w:val="4A4A4A"/>
                <w:sz w:val="22"/>
                <w:szCs w:val="22"/>
                <w:lang w:eastAsia="en-GB"/>
              </w:rPr>
              <w:t>Concepts:</w:t>
            </w:r>
          </w:p>
          <w:p>
            <w:pPr>
              <w:keepNext w:val="0"/>
              <w:keepLines w:val="0"/>
              <w:widowControl/>
              <w:suppressLineNumbers w:val="0"/>
              <w:spacing w:before="120" w:beforeAutospacing="0" w:after="240" w:afterAutospacing="0"/>
              <w:ind w:left="0" w:right="0"/>
              <w:jc w:val="both"/>
              <w:rPr>
                <w:rFonts w:hint="default" w:eastAsiaTheme="minorEastAsia"/>
                <w:b/>
                <w:sz w:val="22"/>
                <w:szCs w:val="22"/>
                <w:lang w:eastAsia="zh-CN"/>
              </w:rPr>
            </w:pPr>
            <w:r>
              <w:rPr>
                <w:rFonts w:hint="default"/>
                <w:b w:val="0"/>
                <w:bCs/>
                <w:sz w:val="22"/>
                <w:szCs w:val="22"/>
              </w:rPr>
              <w:t>Death:</w:t>
            </w:r>
            <w:r>
              <w:rPr>
                <w:rFonts w:hint="default"/>
                <w:b/>
                <w:sz w:val="22"/>
                <w:szCs w:val="22"/>
              </w:rPr>
              <w:t xml:space="preserve"> </w:t>
            </w:r>
            <w:r>
              <w:rPr>
                <w:rFonts w:hint="default"/>
                <w:bCs/>
                <w:sz w:val="22"/>
                <w:szCs w:val="22"/>
              </w:rPr>
              <w:t>The number of people who died during the disaster, or directly after, as a direct result of the hazardous event.</w:t>
            </w:r>
          </w:p>
          <w:p>
            <w:pPr>
              <w:keepNext w:val="0"/>
              <w:keepLines w:val="0"/>
              <w:widowControl/>
              <w:suppressLineNumbers w:val="0"/>
              <w:spacing w:before="120" w:beforeAutospacing="0" w:after="240" w:afterAutospacing="0"/>
              <w:ind w:left="0" w:right="0"/>
              <w:jc w:val="both"/>
              <w:rPr>
                <w:rFonts w:hint="default"/>
                <w:b/>
                <w:sz w:val="22"/>
                <w:szCs w:val="22"/>
              </w:rPr>
            </w:pPr>
            <w:r>
              <w:rPr>
                <w:rFonts w:hint="default"/>
                <w:b w:val="0"/>
                <w:bCs/>
                <w:sz w:val="22"/>
                <w:szCs w:val="22"/>
              </w:rPr>
              <w:t>Missing:</w:t>
            </w:r>
            <w:r>
              <w:rPr>
                <w:rFonts w:hint="default"/>
                <w:b/>
                <w:sz w:val="22"/>
                <w:szCs w:val="22"/>
              </w:rPr>
              <w:t xml:space="preserve"> </w:t>
            </w:r>
            <w:r>
              <w:rPr>
                <w:rFonts w:hint="default"/>
                <w:sz w:val="22"/>
                <w:szCs w:val="22"/>
              </w:rPr>
              <w:t>The number of people whose whereabouts is unknown since the hazardous event. It</w:t>
            </w:r>
            <w:r>
              <w:rPr>
                <w:rFonts w:hint="default"/>
                <w:b/>
                <w:bCs/>
                <w:sz w:val="22"/>
                <w:szCs w:val="22"/>
              </w:rPr>
              <w:t xml:space="preserve"> </w:t>
            </w:r>
            <w:r>
              <w:rPr>
                <w:rFonts w:hint="default"/>
                <w:sz w:val="22"/>
                <w:szCs w:val="22"/>
              </w:rPr>
              <w:t>includes people who are presumed dead, for whom there is no physical evidence such as a body, and for which an official/legal report has been filed with competent authorities.</w:t>
            </w:r>
          </w:p>
          <w:p>
            <w:pPr>
              <w:keepNext w:val="0"/>
              <w:keepLines w:val="0"/>
              <w:widowControl/>
              <w:suppressLineNumbers w:val="0"/>
              <w:shd w:val="clear" w:color="auto" w:fill="FFFFFF"/>
              <w:spacing w:before="0" w:beforeAutospacing="0" w:after="0" w:afterAutospacing="0"/>
              <w:ind w:left="0" w:right="0"/>
              <w:jc w:val="both"/>
              <w:rPr>
                <w:rFonts w:hint="default"/>
              </w:rPr>
            </w:pPr>
            <w:r>
              <w:rPr>
                <w:rFonts w:hint="default" w:eastAsia="Times New Roman" w:cs="Times New Roman"/>
                <w:b w:val="0"/>
                <w:bCs w:val="0"/>
                <w:color w:val="4A4A4A"/>
                <w:sz w:val="22"/>
                <w:szCs w:val="22"/>
                <w:lang w:eastAsia="en-GB"/>
              </w:rPr>
              <w:t>Directly affected:</w:t>
            </w:r>
            <w:r>
              <w:rPr>
                <w:rFonts w:hint="default" w:eastAsia="Times New Roman" w:cs="Times New Roman"/>
                <w:b/>
                <w:bCs/>
                <w:color w:val="4A4A4A"/>
                <w:sz w:val="22"/>
                <w:szCs w:val="22"/>
                <w:lang w:eastAsia="en-GB"/>
              </w:rPr>
              <w:t xml:space="preserve">  </w:t>
            </w:r>
            <w:r>
              <w:rPr>
                <w:rFonts w:hint="default"/>
                <w:sz w:val="22"/>
                <w:szCs w:val="22"/>
              </w:rPr>
              <w:t xml:space="preserve">The number of people </w:t>
            </w:r>
            <w:r>
              <w:rPr>
                <w:rFonts w:hint="default" w:eastAsia="Times New Roman" w:cs="Times New Roman"/>
                <w:color w:val="4A4A4A"/>
                <w:sz w:val="22"/>
                <w:szCs w:val="22"/>
                <w:lang w:eastAsia="en-GB"/>
              </w:rPr>
              <w:t>who have suffered injury, illness or other health effects; who were evacuated, displaced, relocated or have suffered direct damage to their livelihoods, economic, physical, social, cultural and environmental assets. Indirectly affected are people who have suffered consequences, other than or in addition to direct effects, over time, due to disruption or changes in economy, critical infrastructure, basic services, commerce or work, or social, health and psychological consequences.</w:t>
            </w: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22" w:edGrp="everyone" w:colFirst="1" w:colLast="1"/>
            <w:r>
              <w:rPr>
                <w:rFonts w:hint="default"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r>
              <w:rPr>
                <w:rFonts w:hint="default"/>
              </w:rPr>
              <w:t>Per 100,000 population</w:t>
            </w: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23" w:edGrp="everyone" w:colFirst="1" w:colLast="1"/>
            <w:r>
              <w:rPr>
                <w:rFonts w:hint="default"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widowControl/>
              <w:suppressLineNumbers w:val="0"/>
              <w:spacing w:beforeAutospacing="0" w:afterAutospacing="0"/>
              <w:ind w:left="0" w:right="0"/>
              <w:rPr>
                <w:rFonts w:hint="default"/>
                <w:sz w:val="32"/>
                <w:szCs w:val="32"/>
              </w:rPr>
            </w:pPr>
            <w:bookmarkStart w:id="18" w:name="_Toc37932746"/>
            <w:bookmarkStart w:id="19" w:name="_Toc36813074"/>
            <w:r>
              <w:rPr>
                <w:rFonts w:hint="default"/>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ermStart w:id="24" w:edGrp="everyone" w:colFirst="1" w:colLast="1"/>
            <w:r>
              <w:rPr>
                <w:rFonts w:hint="default"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25" w:edGrp="everyone" w:colFirst="1" w:colLast="1"/>
            <w:r>
              <w:rPr>
                <w:rFonts w:hint="default"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r>
              <w:rPr>
                <w:rFonts w:hint="default"/>
              </w:rPr>
              <w:t>N</w:t>
            </w:r>
            <w:r>
              <w:rPr>
                <w:rFonts w:hint="default"/>
                <w:lang w:val="en-CA"/>
              </w:rPr>
              <w:t xml:space="preserve">ational </w:t>
            </w:r>
            <w:r>
              <w:rPr>
                <w:rFonts w:hint="default"/>
              </w:rPr>
              <w:t>D</w:t>
            </w:r>
            <w:r>
              <w:rPr>
                <w:rFonts w:hint="default"/>
                <w:lang w:val="en-CA"/>
              </w:rPr>
              <w:t xml:space="preserve">isaster </w:t>
            </w:r>
            <w:r>
              <w:rPr>
                <w:rFonts w:hint="default"/>
              </w:rPr>
              <w:t>M</w:t>
            </w:r>
            <w:r>
              <w:rPr>
                <w:rFonts w:hint="default"/>
                <w:lang w:val="en-CA"/>
              </w:rPr>
              <w:t xml:space="preserve">anagement </w:t>
            </w:r>
            <w:r>
              <w:rPr>
                <w:rFonts w:hint="default"/>
              </w:rPr>
              <w:t>O</w:t>
            </w:r>
            <w:r>
              <w:rPr>
                <w:rFonts w:hint="default"/>
                <w:lang w:val="en-CA"/>
              </w:rPr>
              <w:t xml:space="preserve">rganisation (NADMO) </w:t>
            </w:r>
            <w:r>
              <w:rPr>
                <w:rFonts w:hint="default"/>
              </w:rPr>
              <w:t xml:space="preserve">Annual report </w:t>
            </w: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26" w:edGrp="everyone" w:colFirst="1" w:colLast="1"/>
            <w:r>
              <w:rPr>
                <w:rFonts w:hint="default"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27" w:edGrp="everyone" w:colFirst="1" w:colLast="1"/>
            <w:r>
              <w:rPr>
                <w:rFonts w:hint="default"/>
              </w:rPr>
              <w:t>3.c. Data collection calendar</w:t>
            </w:r>
          </w:p>
        </w:tc>
        <w:tc>
          <w:tcPr>
            <w:tcW w:w="3246"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bookmarkStart w:id="38" w:name="_GoBack"/>
            <w:bookmarkEnd w:id="38"/>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28" w:edGrp="everyone" w:colFirst="1" w:colLast="1"/>
            <w:r>
              <w:rPr>
                <w:rFonts w:hint="default"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29" w:edGrp="everyone" w:colFirst="1" w:colLast="1"/>
            <w:r>
              <w:rPr>
                <w:rFonts w:hint="default"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r>
              <w:rPr>
                <w:rFonts w:hint="default"/>
              </w:rPr>
              <w:t>N</w:t>
            </w:r>
            <w:r>
              <w:rPr>
                <w:rFonts w:hint="default"/>
                <w:lang w:val="en-CA"/>
              </w:rPr>
              <w:t xml:space="preserve">ational </w:t>
            </w:r>
            <w:r>
              <w:rPr>
                <w:rFonts w:hint="default"/>
              </w:rPr>
              <w:t>D</w:t>
            </w:r>
            <w:r>
              <w:rPr>
                <w:rFonts w:hint="default"/>
                <w:lang w:val="en-CA"/>
              </w:rPr>
              <w:t xml:space="preserve">isaster </w:t>
            </w:r>
            <w:r>
              <w:rPr>
                <w:rFonts w:hint="default"/>
              </w:rPr>
              <w:t>M</w:t>
            </w:r>
            <w:r>
              <w:rPr>
                <w:rFonts w:hint="default"/>
                <w:lang w:val="en-CA"/>
              </w:rPr>
              <w:t xml:space="preserve">anagement </w:t>
            </w:r>
            <w:r>
              <w:rPr>
                <w:rFonts w:hint="default"/>
              </w:rPr>
              <w:t>O</w:t>
            </w:r>
            <w:r>
              <w:rPr>
                <w:rFonts w:hint="default"/>
                <w:lang w:val="en-CA"/>
              </w:rPr>
              <w:t>rganisation (NADMO)</w:t>
            </w: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30" w:edGrp="everyone" w:colFirst="1" w:colLast="1"/>
            <w:r>
              <w:rPr>
                <w:rFonts w:hint="default"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31" w:edGrp="everyone" w:colFirst="1" w:colLast="1"/>
            <w:r>
              <w:rPr>
                <w:rFonts w:hint="default"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widowControl/>
              <w:suppressLineNumbers w:val="0"/>
              <w:spacing w:beforeAutospacing="0" w:afterAutospacing="0"/>
              <w:ind w:left="0" w:right="0"/>
              <w:rPr>
                <w:rFonts w:hint="default" w:ascii="Times New Roman" w:hAnsi="Times New Roman"/>
                <w:sz w:val="32"/>
                <w:szCs w:val="32"/>
              </w:rPr>
            </w:pPr>
            <w:bookmarkStart w:id="20" w:name="_Toc36812688"/>
            <w:bookmarkStart w:id="21" w:name="_Toc36813075"/>
            <w:bookmarkStart w:id="22" w:name="_Toc37932747"/>
            <w:bookmarkStart w:id="23" w:name="_Toc36812575"/>
            <w:bookmarkStart w:id="24" w:name="_Toc36655612"/>
            <w:r>
              <w:rPr>
                <w:rFonts w:hint="default"/>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b/>
                <w:bCs/>
              </w:rPr>
            </w:pPr>
            <w:permStart w:id="32" w:edGrp="everyone" w:colFirst="1" w:colLast="1"/>
            <w:r>
              <w:rPr>
                <w:rFonts w:hint="default"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33" w:edGrp="everyone" w:colFirst="1" w:colLast="1"/>
            <w:r>
              <w:rPr>
                <w:rFonts w:hint="default"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pPr>
              <w:keepNext w:val="0"/>
              <w:keepLines w:val="0"/>
              <w:widowControl/>
              <w:suppressLineNumbers w:val="0"/>
              <w:autoSpaceDE w:val="0"/>
              <w:autoSpaceDN w:val="0"/>
              <w:adjustRightInd w:val="0"/>
              <w:spacing w:before="0" w:beforeAutospacing="0" w:after="0" w:afterAutospacing="0" w:line="240" w:lineRule="auto"/>
              <w:ind w:left="0" w:right="0"/>
              <w:rPr>
                <w:rFonts w:hint="default" w:cstheme="minorHAnsi"/>
              </w:rPr>
            </w:pPr>
            <w:r>
              <w:rPr>
                <w:rFonts w:hint="default" w:cstheme="minorHAnsi"/>
              </w:rPr>
              <w:t xml:space="preserve">The indicator is based on the </w:t>
            </w:r>
            <w:r>
              <w:rPr>
                <w:rFonts w:hint="default" w:cstheme="minorHAnsi"/>
              </w:rPr>
              <w:fldChar w:fldCharType="begin"/>
            </w:r>
            <w:r>
              <w:rPr>
                <w:rFonts w:hint="default" w:cstheme="minorHAnsi"/>
              </w:rPr>
              <w:instrText xml:space="preserve"> HYPERLINK "https://www.undrr.org/publication/sendai-framework-disaster-risk-reduction-2015-2030" </w:instrText>
            </w:r>
            <w:r>
              <w:rPr>
                <w:rFonts w:hint="default" w:cstheme="minorHAnsi"/>
              </w:rPr>
              <w:fldChar w:fldCharType="separate"/>
            </w:r>
            <w:r>
              <w:rPr>
                <w:rStyle w:val="18"/>
                <w:rFonts w:hint="default" w:cstheme="minorHAnsi"/>
              </w:rPr>
              <w:t>Sendai Framework for Disaster Risk Reduction 2015-2030</w:t>
            </w:r>
            <w:r>
              <w:rPr>
                <w:rFonts w:hint="default" w:cstheme="minorHAnsi"/>
              </w:rPr>
              <w:fldChar w:fldCharType="end"/>
            </w:r>
            <w:r>
              <w:rPr>
                <w:rFonts w:hint="default" w:cstheme="minorHAnsi"/>
              </w:rPr>
              <w:t xml:space="preserve"> which was adopted by UN Member States in March 2015 as a global policy of disaster risk reduction. Two key targets of the framework are:</w:t>
            </w:r>
          </w:p>
          <w:p>
            <w:pPr>
              <w:keepNext w:val="0"/>
              <w:keepLines w:val="0"/>
              <w:widowControl/>
              <w:suppressLineNumbers w:val="0"/>
              <w:autoSpaceDE w:val="0"/>
              <w:autoSpaceDN w:val="0"/>
              <w:adjustRightInd w:val="0"/>
              <w:spacing w:before="0" w:beforeAutospacing="0" w:after="0" w:afterAutospacing="0" w:line="240" w:lineRule="auto"/>
              <w:ind w:left="0" w:right="0"/>
              <w:rPr>
                <w:rFonts w:hint="default" w:cstheme="minorHAnsi"/>
              </w:rPr>
            </w:pPr>
            <w:r>
              <w:rPr>
                <w:rFonts w:hint="default" w:cstheme="minorHAnsi"/>
              </w:rPr>
              <w:t xml:space="preserve"> (i) To substantially reduce global disaster mortality by 2030, aiming to lower the average global figure per 100,000 global mortality between 2020 and 2030 compared with 2005-2015” and </w:t>
            </w:r>
          </w:p>
          <w:p>
            <w:pPr>
              <w:keepNext w:val="0"/>
              <w:keepLines w:val="0"/>
              <w:widowControl/>
              <w:suppressLineNumbers w:val="0"/>
              <w:autoSpaceDE w:val="0"/>
              <w:autoSpaceDN w:val="0"/>
              <w:adjustRightInd w:val="0"/>
              <w:spacing w:before="0" w:beforeAutospacing="0" w:after="0" w:afterAutospacing="0" w:line="240" w:lineRule="auto"/>
              <w:ind w:left="0" w:right="0"/>
              <w:rPr>
                <w:rFonts w:hint="default" w:cstheme="minorHAnsi"/>
              </w:rPr>
            </w:pPr>
            <w:r>
              <w:rPr>
                <w:rFonts w:hint="default" w:cstheme="minorHAnsi"/>
              </w:rPr>
              <w:t>(ii) To substantially reduce the number of affected people globally by 2030, aiming to lower the average global figure per 100,000 between 2020 and 2030 compared with 2005-2015”.</w:t>
            </w:r>
          </w:p>
          <w:p>
            <w:pPr>
              <w:pStyle w:val="19"/>
              <w:keepNext w:val="0"/>
              <w:keepLines w:val="0"/>
              <w:widowControl/>
              <w:suppressLineNumbers w:val="0"/>
              <w:spacing w:line="256" w:lineRule="auto"/>
              <w:ind w:left="0" w:firstLine="0"/>
              <w:rPr>
                <w:rFonts w:hint="default"/>
              </w:rPr>
            </w:pPr>
            <w:r>
              <w:rPr>
                <w:rFonts w:hint="default" w:cstheme="minorHAnsi"/>
              </w:rPr>
              <w:t>Meeting the targets will contribute to sustainable development and strengthen economic, social, health and environmental resilience. The economic, environmental and social perspectives would include poverty eradication, urban resilience, and climate change adaptation.</w:t>
            </w: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34" w:edGrp="everyone" w:colFirst="1" w:colLast="1"/>
            <w:r>
              <w:rPr>
                <w:rFonts w:hint="default"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35" w:edGrp="everyone" w:colFirst="1" w:colLast="1"/>
            <w:r>
              <w:rPr>
                <w:rFonts w:hint="default"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pPr>
              <w:keepNext w:val="0"/>
              <w:keepLines w:val="0"/>
              <w:widowControl/>
              <w:numPr>
                <w:ilvl w:val="0"/>
                <w:numId w:val="0"/>
              </w:numPr>
              <w:suppressLineNumbers w:val="0"/>
              <w:spacing w:before="0" w:beforeAutospacing="0" w:afterAutospacing="0"/>
              <w:ind w:left="0" w:leftChars="0" w:right="0"/>
              <w:rPr>
                <w:rFonts w:hint="default"/>
              </w:rPr>
            </w:pP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36" w:edGrp="everyone" w:colFirst="1" w:colLast="1"/>
            <w:r>
              <w:rPr>
                <w:rFonts w:hint="default"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37" w:edGrp="everyone" w:colFirst="1" w:colLast="1"/>
            <w:r>
              <w:rPr>
                <w:rFonts w:hint="default"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38" w:edGrp="everyone" w:colFirst="1" w:colLast="1"/>
            <w:r>
              <w:rPr>
                <w:rFonts w:hint="default"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39" w:edGrp="everyone" w:colFirst="1" w:colLast="1"/>
            <w:r>
              <w:rPr>
                <w:rFonts w:hint="default"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40" w:edGrp="everyone" w:colFirst="1" w:colLast="1"/>
            <w:r>
              <w:rPr>
                <w:rFonts w:hint="default"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41" w:edGrp="everyone" w:colFirst="1" w:colLast="1"/>
            <w:r>
              <w:rPr>
                <w:rFonts w:hint="default"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42" w:edGrp="everyone" w:colFirst="1" w:colLast="1"/>
            <w:r>
              <w:rPr>
                <w:rFonts w:hint="default"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43" w:edGrp="everyone" w:colFirst="1" w:colLast="1"/>
            <w:r>
              <w:rPr>
                <w:rFonts w:hint="default"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90"/>
        <w:gridCol w:w="6166"/>
      </w:tblGrid>
      <w:tr>
        <w:trPr>
          <w:trHeight w:val="470" w:hRule="atLeast"/>
        </w:trPr>
        <w:tc>
          <w:tcPr>
            <w:tcW w:w="5000" w:type="pct"/>
            <w:gridSpan w:val="2"/>
            <w:tcBorders>
              <w:top w:val="nil"/>
              <w:left w:val="nil"/>
              <w:bottom w:val="nil"/>
              <w:right w:val="nil"/>
            </w:tcBorders>
            <w:shd w:val="clear" w:color="auto" w:fill="auto"/>
            <w:noWrap/>
            <w:vAlign w:val="bottom"/>
          </w:tcPr>
          <w:p>
            <w:pPr>
              <w:pStyle w:val="3"/>
              <w:widowControl/>
              <w:suppressLineNumbers w:val="0"/>
              <w:spacing w:beforeAutospacing="0" w:afterAutospacing="0"/>
              <w:ind w:left="0" w:right="0"/>
              <w:rPr>
                <w:rFonts w:hint="default" w:ascii="Times New Roman" w:hAnsi="Times New Roman"/>
                <w:sz w:val="32"/>
                <w:szCs w:val="32"/>
              </w:rPr>
            </w:pPr>
            <w:bookmarkStart w:id="25" w:name="_Toc36655613"/>
            <w:bookmarkStart w:id="26" w:name="_Toc36812689"/>
            <w:bookmarkStart w:id="27" w:name="_Toc37932748"/>
            <w:bookmarkStart w:id="28" w:name="_Toc36813076"/>
            <w:bookmarkStart w:id="29" w:name="_Toc36812576"/>
            <w:r>
              <w:rPr>
                <w:rFonts w:hint="default"/>
                <w:sz w:val="32"/>
                <w:szCs w:val="32"/>
              </w:rPr>
              <w:t>5. Data availability and disaggregation</w:t>
            </w:r>
            <w:bookmarkEnd w:id="25"/>
            <w:bookmarkEnd w:id="26"/>
            <w:bookmarkEnd w:id="27"/>
            <w:bookmarkEnd w:id="28"/>
            <w:bookmarkEnd w:id="29"/>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3475"/>
              <w:rPr>
                <w:rFonts w:hint="default" w:ascii="Calibri" w:hAnsi="Calibri" w:eastAsia="Times New Roman" w:cs="Calibri"/>
                <w:color w:val="000000"/>
              </w:rPr>
            </w:pPr>
            <w:r>
              <w:rPr>
                <w:rFonts w:hint="default"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ermStart w:id="44" w:edGrp="everyone" w:colFirst="1" w:colLast="1"/>
            <w:r>
              <w:rPr>
                <w:rFonts w:hint="default"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lang w:val="en-CA"/>
              </w:rPr>
            </w:pPr>
            <w:r>
              <w:rPr>
                <w:rFonts w:hint="default"/>
                <w:lang w:val="en-CA"/>
              </w:rPr>
              <w:t>There is no available disaggregation for this indicator.</w:t>
            </w:r>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rPr>
          <w:trHeight w:val="290" w:hRule="atLeast"/>
        </w:trPr>
        <w:tc>
          <w:tcPr>
            <w:tcW w:w="5000" w:type="pct"/>
            <w:gridSpan w:val="2"/>
            <w:tcBorders>
              <w:top w:val="nil"/>
              <w:left w:val="nil"/>
              <w:bottom w:val="nil"/>
              <w:right w:val="nil"/>
            </w:tcBorders>
            <w:shd w:val="clear" w:color="auto" w:fill="auto"/>
            <w:noWrap/>
            <w:vAlign w:val="bottom"/>
          </w:tcPr>
          <w:p>
            <w:pPr>
              <w:pStyle w:val="3"/>
              <w:widowControl/>
              <w:suppressLineNumbers w:val="0"/>
              <w:spacing w:beforeAutospacing="0" w:afterAutospacing="0"/>
              <w:ind w:left="0" w:right="0"/>
              <w:rPr>
                <w:rFonts w:hint="default"/>
                <w:sz w:val="32"/>
                <w:szCs w:val="32"/>
              </w:rPr>
            </w:pPr>
            <w:r>
              <w:rPr>
                <w:rFonts w:hint="default"/>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3475"/>
              <w:rPr>
                <w:rFonts w:hint="default" w:ascii="Calibri" w:hAnsi="Calibri" w:eastAsia="Times New Roman" w:cs="Calibri"/>
                <w:color w:val="000000"/>
              </w:rPr>
            </w:pPr>
            <w:r>
              <w:rPr>
                <w:rFonts w:hint="default"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ermStart w:id="45" w:edGrp="everyone" w:colFirst="1" w:colLast="1"/>
            <w:r>
              <w:rPr>
                <w:rFonts w:hint="default"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widowControl/>
              <w:suppressLineNumbers w:val="0"/>
              <w:spacing w:beforeAutospacing="0" w:afterAutospacing="0"/>
              <w:ind w:left="0" w:right="0"/>
              <w:rPr>
                <w:rFonts w:hint="default"/>
                <w:sz w:val="32"/>
                <w:szCs w:val="32"/>
              </w:rPr>
            </w:pPr>
            <w:r>
              <w:rPr>
                <w:rFonts w:hint="default"/>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3475"/>
              <w:rPr>
                <w:rFonts w:hint="default" w:ascii="Calibri" w:hAnsi="Calibri" w:eastAsia="Times New Roman" w:cs="Calibri"/>
                <w:color w:val="000000"/>
              </w:rPr>
            </w:pPr>
            <w:r>
              <w:rPr>
                <w:rFonts w:hint="default"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ermStart w:id="46" w:edGrp="everyone" w:colFirst="1" w:colLast="1"/>
            <w:r>
              <w:rPr>
                <w:rFonts w:hint="default"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pPr>
              <w:keepNext w:val="0"/>
              <w:keepLines w:val="0"/>
              <w:widowControl/>
              <w:suppressLineNumbers w:val="0"/>
              <w:spacing w:before="0" w:beforeAutospacing="0" w:after="17" w:afterAutospacing="0" w:line="256" w:lineRule="auto"/>
              <w:ind w:left="0" w:right="0"/>
              <w:jc w:val="left"/>
              <w:rPr>
                <w:rFonts w:hint="default"/>
                <w:sz w:val="22"/>
                <w:szCs w:val="22"/>
              </w:rPr>
            </w:pPr>
            <w:r>
              <w:rPr>
                <w:rFonts w:hint="default" w:ascii="Calibri" w:hAnsi="Calibri" w:eastAsia="Calibri" w:cs="Calibri"/>
                <w:color w:val="000000"/>
                <w:kern w:val="0"/>
                <w:sz w:val="22"/>
                <w:szCs w:val="22"/>
                <w:lang w:val="en-US" w:eastAsia="zh-CN" w:bidi="ar"/>
              </w:rPr>
              <w:fldChar w:fldCharType="begin"/>
            </w:r>
            <w:r>
              <w:rPr>
                <w:rFonts w:hint="default" w:ascii="Calibri" w:hAnsi="Calibri" w:eastAsia="Calibri" w:cs="Calibri"/>
                <w:color w:val="000000"/>
                <w:kern w:val="0"/>
                <w:sz w:val="22"/>
                <w:szCs w:val="22"/>
                <w:lang w:val="en-US" w:eastAsia="zh-CN" w:bidi="ar"/>
              </w:rPr>
              <w:instrText xml:space="preserve"> HYPERLINK "https://www.preventionweb.net/files/54970_collectionoftechnicalguidancenoteso.pdf" </w:instrText>
            </w:r>
            <w:r>
              <w:rPr>
                <w:rFonts w:hint="default" w:ascii="Calibri" w:hAnsi="Calibri" w:eastAsia="Calibri" w:cs="Calibri"/>
                <w:color w:val="000000"/>
                <w:kern w:val="0"/>
                <w:sz w:val="22"/>
                <w:szCs w:val="22"/>
                <w:lang w:val="en-US" w:eastAsia="zh-CN" w:bidi="ar"/>
              </w:rPr>
              <w:fldChar w:fldCharType="separate"/>
            </w:r>
            <w:r>
              <w:rPr>
                <w:rStyle w:val="18"/>
                <w:rFonts w:hint="default"/>
                <w:color w:val="0563C1"/>
                <w:sz w:val="22"/>
                <w:szCs w:val="22"/>
                <w:lang w:val="en-US"/>
              </w:rPr>
              <w:t>https://www.preventionweb.net/files/54970collectionoftechnicalguidancenoteso.pdf</w:t>
            </w:r>
            <w:r>
              <w:rPr>
                <w:rFonts w:hint="default" w:ascii="Calibri" w:hAnsi="Calibri" w:eastAsia="Calibri" w:cs="Calibri"/>
                <w:color w:val="000000"/>
                <w:kern w:val="0"/>
                <w:sz w:val="22"/>
                <w:szCs w:val="22"/>
                <w:lang w:val="en-US" w:eastAsia="zh-CN" w:bidi="ar"/>
              </w:rPr>
              <w:fldChar w:fldCharType="end"/>
            </w:r>
            <w:r>
              <w:rPr>
                <w:rFonts w:hint="default" w:ascii="Calibri" w:hAnsi="Calibri" w:eastAsia="Calibri" w:cs="Calibri"/>
                <w:color w:val="000000"/>
                <w:kern w:val="0"/>
                <w:sz w:val="22"/>
                <w:szCs w:val="22"/>
                <w:lang w:val="en-US" w:eastAsia="zh-CN" w:bidi="ar"/>
              </w:rPr>
              <w:fldChar w:fldCharType="begin"/>
            </w:r>
            <w:r>
              <w:rPr>
                <w:rFonts w:hint="default" w:ascii="Calibri" w:hAnsi="Calibri" w:eastAsia="Calibri" w:cs="Calibri"/>
                <w:color w:val="000000"/>
                <w:kern w:val="0"/>
                <w:sz w:val="22"/>
                <w:szCs w:val="22"/>
                <w:lang w:val="en-US" w:eastAsia="zh-CN" w:bidi="ar"/>
              </w:rPr>
              <w:instrText xml:space="preserve"> HYPERLINK "https://www.preventionweb.net/files/54970_collectionoftechnicalguidancenoteso.pdf" </w:instrText>
            </w:r>
            <w:r>
              <w:rPr>
                <w:rFonts w:hint="default" w:ascii="Calibri" w:hAnsi="Calibri" w:eastAsia="Calibri" w:cs="Calibri"/>
                <w:color w:val="000000"/>
                <w:kern w:val="0"/>
                <w:sz w:val="22"/>
                <w:szCs w:val="22"/>
                <w:lang w:val="en-US" w:eastAsia="zh-CN" w:bidi="ar"/>
              </w:rPr>
              <w:fldChar w:fldCharType="separate"/>
            </w:r>
            <w:r>
              <w:rPr>
                <w:rStyle w:val="18"/>
                <w:rFonts w:hint="default"/>
                <w:color w:val="4A4A4A"/>
                <w:sz w:val="22"/>
                <w:szCs w:val="22"/>
                <w:u w:val="none"/>
                <w:lang w:val="en-US"/>
              </w:rPr>
              <w:t xml:space="preserve"> </w:t>
            </w:r>
            <w:r>
              <w:rPr>
                <w:rFonts w:hint="default" w:ascii="Calibri" w:hAnsi="Calibri" w:eastAsia="Calibri" w:cs="Calibri"/>
                <w:color w:val="000000"/>
                <w:kern w:val="0"/>
                <w:sz w:val="22"/>
                <w:szCs w:val="22"/>
                <w:lang w:val="en-US" w:eastAsia="zh-CN" w:bidi="ar"/>
              </w:rPr>
              <w:fldChar w:fldCharType="end"/>
            </w:r>
          </w:p>
        </w:tc>
      </w:tr>
      <w:permEnd w:id="46"/>
    </w:tbl>
    <w:p>
      <w:pPr>
        <w:pStyle w:val="2"/>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2"/>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2"/>
        <w:rPr>
          <w:sz w:val="28"/>
          <w:szCs w:val="28"/>
        </w:rPr>
      </w:pPr>
      <w:bookmarkStart w:id="35" w:name="_Toc37932753"/>
      <w:bookmarkStart w:id="36" w:name="Mapping"/>
      <w:r>
        <w:rPr>
          <w:sz w:val="28"/>
          <w:szCs w:val="28"/>
        </w:rPr>
        <w:t>B. Mapping of SDMX Detailed Concepts to IAEG-SDG File Format</w:t>
      </w:r>
      <w:bookmarkEnd w:id="35"/>
    </w:p>
    <w:bookmarkEnd w:id="36"/>
    <w:p>
      <w:pPr>
        <w:pStyle w:val="35"/>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5"/>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Institutional information</w:t>
            </w:r>
            <w:r>
              <w:rPr>
                <w:rFonts w:hint="default" w:ascii="Calibri" w:hAnsi="Calibri" w:eastAsia="Times New Roman" w:cs="Calibri"/>
              </w:rPr>
              <w:br w:type="textWrapping"/>
            </w:r>
            <w:r>
              <w:rPr>
                <w:rFonts w:hint="default"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Concepts and definitions</w:t>
            </w:r>
            <w:r>
              <w:rPr>
                <w:rFonts w:hint="default" w:ascii="Calibri" w:hAnsi="Calibri" w:eastAsia="Times New Roman" w:cs="Calibri"/>
              </w:rPr>
              <w:br w:type="textWrapping"/>
            </w:r>
            <w:r>
              <w:rPr>
                <w:rFonts w:hint="default" w:ascii="Calibri" w:hAnsi="Calibri" w:eastAsia="Times New Roman" w:cs="Calibri"/>
              </w:rPr>
              <w:t>Definition</w:t>
            </w:r>
            <w:r>
              <w:rPr>
                <w:rFonts w:hint="default" w:ascii="Calibri" w:hAnsi="Calibri" w:eastAsia="Times New Roman" w:cs="Calibri"/>
              </w:rPr>
              <w:br w:type="textWrapping"/>
            </w:r>
            <w:r>
              <w:rPr>
                <w:rFonts w:hint="default"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Data sources</w:t>
            </w:r>
            <w:r>
              <w:rPr>
                <w:rFonts w:hint="default" w:ascii="Calibri" w:hAnsi="Calibri" w:eastAsia="Times New Roman" w:cs="Calibri"/>
              </w:rPr>
              <w:br w:type="textWrapping"/>
            </w:r>
            <w:r>
              <w:rPr>
                <w:rFonts w:hint="default"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Calendar</w:t>
            </w:r>
            <w:r>
              <w:rPr>
                <w:rFonts w:hint="default" w:ascii="Calibri" w:hAnsi="Calibri" w:eastAsia="Times New Roman" w:cs="Calibri"/>
              </w:rPr>
              <w:br w:type="textWrapping"/>
            </w:r>
            <w:r>
              <w:rPr>
                <w:rFonts w:hint="default"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Methodology</w:t>
            </w:r>
            <w:r>
              <w:rPr>
                <w:rFonts w:hint="default" w:ascii="Calibri" w:hAnsi="Calibri" w:eastAsia="Times New Roman" w:cs="Calibri"/>
              </w:rPr>
              <w:br w:type="textWrapping"/>
            </w:r>
            <w:r>
              <w:rPr>
                <w:rFonts w:hint="default"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Treatment of missing values</w:t>
            </w:r>
            <w:r>
              <w:rPr>
                <w:rFonts w:hint="default" w:ascii="Calibri" w:hAnsi="Calibri" w:eastAsia="Times New Roman" w:cs="Calibri"/>
              </w:rPr>
              <w:br w:type="textWrapping"/>
            </w:r>
            <w:r>
              <w:rPr>
                <w:rFonts w:hint="default" w:ascii="Calibri" w:hAnsi="Calibri" w:eastAsia="Times New Roman" w:cs="Calibri"/>
              </w:rPr>
              <w:t xml:space="preserve">* At country level: </w:t>
            </w:r>
            <w:r>
              <w:rPr>
                <w:rFonts w:hint="default" w:ascii="Calibri" w:hAnsi="Calibri" w:eastAsia="Times New Roman" w:cs="Calibri"/>
              </w:rPr>
              <w:br w:type="textWrapping"/>
            </w:r>
            <w:r>
              <w:rPr>
                <w:rFonts w:hint="default"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Data availability</w:t>
            </w:r>
            <w:r>
              <w:rPr>
                <w:rFonts w:hint="default" w:ascii="Calibri" w:hAnsi="Calibri" w:eastAsia="Times New Roman" w:cs="Calibri"/>
              </w:rPr>
              <w:br w:type="textWrapping"/>
            </w:r>
            <w:r>
              <w:rPr>
                <w:rFonts w:hint="default"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References</w:t>
            </w:r>
            <w:r>
              <w:rPr>
                <w:rFonts w:hint="default" w:ascii="Calibri" w:hAnsi="Calibri" w:eastAsia="Times New Roman" w:cs="Calibri"/>
              </w:rPr>
              <w:br w:type="textWrapping"/>
            </w:r>
            <w:r>
              <w:rPr>
                <w:rFonts w:hint="default" w:ascii="Calibri" w:hAnsi="Calibri" w:eastAsia="Times New Roman" w:cs="Calibri"/>
              </w:rPr>
              <w:t>URL</w:t>
            </w:r>
            <w:r>
              <w:rPr>
                <w:rFonts w:hint="default" w:ascii="Calibri" w:hAnsi="Calibri" w:eastAsia="Times New Roman" w:cs="Calibri"/>
              </w:rPr>
              <w:br w:type="textWrapping"/>
            </w:r>
            <w:r>
              <w:rPr>
                <w:rFonts w:hint="default" w:ascii="Calibri" w:hAnsi="Calibri" w:eastAsia="Times New Roman" w:cs="Calibri"/>
              </w:rPr>
              <w:t>References</w:t>
            </w:r>
          </w:p>
        </w:tc>
      </w:tr>
    </w:tbl>
    <w:p>
      <w:pPr>
        <w:pStyle w:val="35"/>
      </w:pPr>
    </w:p>
    <w:p>
      <w:pPr>
        <w:pStyle w:val="32"/>
        <w:rPr>
          <w:sz w:val="28"/>
          <w:szCs w:val="28"/>
        </w:rPr>
      </w:pPr>
      <w:bookmarkStart w:id="37" w:name="_Toc37932754"/>
      <w:r>
        <w:rPr>
          <w:sz w:val="28"/>
          <w:szCs w:val="28"/>
        </w:rPr>
        <w:t>C. Mapping of IAEG-SDG File Format to SDMX Detailed Concepts</w:t>
      </w:r>
      <w:bookmarkEnd w:id="37"/>
    </w:p>
    <w:p>
      <w:pPr>
        <w:pStyle w:val="35"/>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5"/>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IAEG-SDG Headers and Subheaders</w:t>
            </w:r>
          </w:p>
        </w:tc>
        <w:tc>
          <w:tcPr>
            <w:tcW w:w="4410" w:type="dxa"/>
            <w:shd w:val="clear" w:color="auto" w:fill="BDD6EE" w:themeFill="accent1" w:themeFillTint="66"/>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Last updated: [DATE]</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 xml:space="preserve">Goal </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 xml:space="preserve">Target </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Indicator</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Institutional information</w:t>
            </w:r>
            <w:r>
              <w:rPr>
                <w:rFonts w:hint="default" w:ascii="Calibri" w:hAnsi="Calibri" w:eastAsia="Times New Roman" w:cs="Calibri"/>
                <w:color w:val="000000"/>
              </w:rPr>
              <w:br w:type="textWrapping"/>
            </w:r>
            <w:r>
              <w:rPr>
                <w:rFonts w:hint="default" w:ascii="Calibri" w:hAnsi="Calibri" w:eastAsia="Times New Roman" w:cs="Calibri"/>
                <w:color w:val="000000"/>
              </w:rPr>
              <w:t>Organization(s)</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Concepts and definitions</w:t>
            </w:r>
            <w:r>
              <w:rPr>
                <w:rFonts w:hint="default" w:ascii="Calibri" w:hAnsi="Calibri" w:eastAsia="Times New Roman" w:cs="Calibri"/>
                <w:color w:val="000000"/>
              </w:rPr>
              <w:br w:type="textWrapping"/>
            </w:r>
            <w:r>
              <w:rPr>
                <w:rFonts w:hint="default" w:ascii="Calibri" w:hAnsi="Calibri" w:eastAsia="Times New Roman" w:cs="Calibri"/>
                <w:color w:val="000000"/>
              </w:rPr>
              <w:t>Definition</w:t>
            </w:r>
            <w:r>
              <w:rPr>
                <w:rFonts w:hint="default" w:ascii="Calibri" w:hAnsi="Calibri" w:eastAsia="Times New Roman" w:cs="Calibri"/>
                <w:color w:val="000000"/>
              </w:rPr>
              <w:br w:type="textWrapping"/>
            </w:r>
            <w:r>
              <w:rPr>
                <w:rFonts w:hint="default" w:ascii="Calibri" w:hAnsi="Calibri" w:eastAsia="Times New Roman" w:cs="Calibri"/>
                <w:color w:val="000000"/>
              </w:rPr>
              <w:t>Concepts</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Rationale</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Comments and limitations</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Methodology</w:t>
            </w:r>
            <w:r>
              <w:rPr>
                <w:rFonts w:hint="default" w:ascii="Calibri" w:hAnsi="Calibri" w:eastAsia="Times New Roman" w:cs="Calibri"/>
                <w:color w:val="000000"/>
              </w:rPr>
              <w:br w:type="textWrapping"/>
            </w:r>
            <w:r>
              <w:rPr>
                <w:rFonts w:hint="default" w:ascii="Calibri" w:hAnsi="Calibri" w:eastAsia="Times New Roman" w:cs="Calibri"/>
                <w:color w:val="000000"/>
              </w:rPr>
              <w:t>Computation method</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Treatment of missing values</w:t>
            </w:r>
            <w:r>
              <w:rPr>
                <w:rFonts w:hint="default" w:ascii="Calibri" w:hAnsi="Calibri" w:eastAsia="Times New Roman" w:cs="Calibri"/>
                <w:color w:val="000000"/>
              </w:rPr>
              <w:br w:type="textWrapping"/>
            </w:r>
            <w:r>
              <w:rPr>
                <w:rFonts w:hint="default" w:ascii="Calibri" w:hAnsi="Calibri" w:eastAsia="Times New Roman" w:cs="Calibri"/>
                <w:color w:val="000000"/>
              </w:rPr>
              <w:t xml:space="preserve">* At country level: </w:t>
            </w:r>
            <w:r>
              <w:rPr>
                <w:rFonts w:hint="default" w:ascii="Calibri" w:hAnsi="Calibri" w:eastAsia="Times New Roman" w:cs="Calibri"/>
                <w:color w:val="000000"/>
              </w:rPr>
              <w:br w:type="textWrapping"/>
            </w:r>
            <w:r>
              <w:rPr>
                <w:rFonts w:hint="default" w:ascii="Calibri" w:hAnsi="Calibri" w:eastAsia="Times New Roman" w:cs="Calibri"/>
                <w:color w:val="000000"/>
              </w:rPr>
              <w:t xml:space="preserve">* At regional or global levels: </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Regional aggregates</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Sources of discrepancies</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Quality assurance</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Data sources</w:t>
            </w:r>
            <w:r>
              <w:rPr>
                <w:rFonts w:hint="default" w:ascii="Calibri" w:hAnsi="Calibri" w:eastAsia="Times New Roman" w:cs="Calibri"/>
                <w:color w:val="000000"/>
              </w:rPr>
              <w:br w:type="textWrapping"/>
            </w:r>
            <w:r>
              <w:rPr>
                <w:rFonts w:hint="default" w:ascii="Calibri" w:hAnsi="Calibri" w:eastAsia="Times New Roman" w:cs="Calibri"/>
                <w:color w:val="000000"/>
              </w:rPr>
              <w:t>Description</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Collection process</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Data availability</w:t>
            </w:r>
            <w:r>
              <w:rPr>
                <w:rFonts w:hint="default" w:ascii="Calibri" w:hAnsi="Calibri" w:eastAsia="Times New Roman" w:cs="Calibri"/>
                <w:color w:val="000000"/>
              </w:rPr>
              <w:br w:type="textWrapping"/>
            </w:r>
            <w:r>
              <w:rPr>
                <w:rFonts w:hint="default" w:ascii="Calibri" w:hAnsi="Calibri" w:eastAsia="Times New Roman" w:cs="Calibri"/>
                <w:color w:val="000000"/>
              </w:rPr>
              <w:t>Disaggregation</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Calendar</w:t>
            </w:r>
            <w:r>
              <w:rPr>
                <w:rFonts w:hint="default" w:ascii="Calibri" w:hAnsi="Calibri" w:eastAsia="Times New Roman" w:cs="Calibri"/>
                <w:color w:val="000000"/>
              </w:rPr>
              <w:br w:type="textWrapping"/>
            </w:r>
            <w:r>
              <w:rPr>
                <w:rFonts w:hint="default" w:ascii="Calibri" w:hAnsi="Calibri" w:eastAsia="Times New Roman" w:cs="Calibri"/>
                <w:color w:val="000000"/>
              </w:rPr>
              <w:t>Data collection</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Data release</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Data providers</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Data compilers</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References</w:t>
            </w:r>
            <w:r>
              <w:rPr>
                <w:rFonts w:hint="default" w:ascii="Calibri" w:hAnsi="Calibri" w:eastAsia="Times New Roman" w:cs="Calibri"/>
                <w:color w:val="000000"/>
              </w:rPr>
              <w:br w:type="textWrapping"/>
            </w:r>
            <w:r>
              <w:rPr>
                <w:rFonts w:hint="default" w:ascii="Calibri" w:hAnsi="Calibri" w:eastAsia="Times New Roman" w:cs="Calibri"/>
                <w:color w:val="000000"/>
              </w:rPr>
              <w:t>URL</w:t>
            </w:r>
            <w:r>
              <w:rPr>
                <w:rFonts w:hint="default" w:ascii="Calibri" w:hAnsi="Calibri" w:eastAsia="Times New Roman" w:cs="Calibri"/>
                <w:color w:val="000000"/>
              </w:rPr>
              <w:br w:type="textWrapping"/>
            </w:r>
            <w:r>
              <w:rPr>
                <w:rFonts w:hint="default" w:ascii="Calibri" w:hAnsi="Calibri" w:eastAsia="Times New Roman" w:cs="Calibri"/>
                <w:color w:val="000000"/>
              </w:rPr>
              <w:t>References</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Related indicators</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0.f. Related indicators</w:t>
            </w:r>
          </w:p>
        </w:tc>
      </w:tr>
      <w:bookmarkEnd w:id="33"/>
    </w:tbl>
    <w:p>
      <w:pPr>
        <w:pStyle w:val="35"/>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86"/>
    <w:family w:val="roman"/>
    <w:pitch w:val="default"/>
    <w:sig w:usb0="E0002EFF" w:usb1="C000785B" w:usb2="00000009" w:usb3="00000000" w:csb0="400001FF" w:csb1="FFFF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Microsoft YaHei"/>
    <w:panose1 w:val="00000000000000000000"/>
    <w:charset w:val="00"/>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docPartObj>
        <w:docPartGallery w:val="autotext"/>
      </w:docPartObj>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docPartObj>
        <w:docPartGallery w:val="autotext"/>
      </w:docPartObj>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view w:val="web"/>
  <w:zoom w:percent="100"/>
  <w:bordersDoNotSurroundHeader w:val="0"/>
  <w:bordersDoNotSurroundFooter w:val="0"/>
  <w:documentProtection w:edit="readOnly" w:enforcement="1"/>
  <w:defaultTabStop w:val="720"/>
  <w:displayHorizontalDrawingGridEvery w:val="1"/>
  <w:displayVerticalDrawingGridEvery w:val="1"/>
  <w:characterSpacingControl w:val="doNotCompress"/>
  <w:footnotePr>
    <w:footnote w:id="2"/>
    <w:footnote w:id="3"/>
  </w:footnotePr>
  <w:endnotePr>
    <w:numFmt w:val="decimal"/>
    <w:endnote w:id="0"/>
    <w:endnote w:id="1"/>
  </w:endnotePr>
  <w:compat>
    <w:doNotExpandShiftReturn/>
    <w:doNotUseIndentAsNumberingTabStop/>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65D65"/>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E7024"/>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D345C"/>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16855"/>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84833"/>
    <w:rsid w:val="00B97297"/>
    <w:rsid w:val="00B979B1"/>
    <w:rsid w:val="00BA71B8"/>
    <w:rsid w:val="00BB553B"/>
    <w:rsid w:val="00BC2237"/>
    <w:rsid w:val="00BD7158"/>
    <w:rsid w:val="00C057EA"/>
    <w:rsid w:val="00C05B22"/>
    <w:rsid w:val="00C141AF"/>
    <w:rsid w:val="00C175B6"/>
    <w:rsid w:val="00C210B4"/>
    <w:rsid w:val="00C22A2E"/>
    <w:rsid w:val="00C47725"/>
    <w:rsid w:val="00C605D4"/>
    <w:rsid w:val="00C71EE7"/>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1FB11F89"/>
    <w:rsid w:val="46DF7F90"/>
    <w:rsid w:val="554E5C35"/>
    <w:rsid w:val="632B026D"/>
    <w:rsid w:val="738768C9"/>
    <w:rsid w:val="77460ED3"/>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Calibri" w:hAnsi="Calibri" w:eastAsia="Times New Roma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qFormat="1"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qFormat="1"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qFormat="1"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qFormat="1"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6"/>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1"/>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qFormat/>
    <w:uiPriority w:val="1"/>
  </w:style>
  <w:style w:type="table" w:default="1" w:styleId="5">
    <w:name w:val="Normal Table"/>
    <w:semiHidden/>
    <w:unhideWhenUsed/>
    <w:qFormat/>
    <w:uiPriority w:val="99"/>
    <w:pPr>
      <w:keepNext w:val="0"/>
      <w:keepLines w:val="0"/>
      <w:widowControl/>
      <w:suppressLineNumbers w:val="0"/>
      <w:spacing w:before="0" w:beforeAutospacing="0" w:after="160" w:afterAutospacing="0" w:line="256" w:lineRule="auto"/>
      <w:ind w:left="0" w:right="0"/>
    </w:pPr>
    <w:rPr>
      <w:rFonts w:hint="default" w:ascii="Calibri" w:hAnsi="Calibri" w:cs="Times New Roman"/>
      <w:sz w:val="22"/>
      <w:szCs w:val="22"/>
    </w:rPr>
    <w:tblPr>
      <w:tblCellMar>
        <w:top w:w="0" w:type="dxa"/>
        <w:left w:w="108" w:type="dxa"/>
        <w:bottom w:w="0" w:type="dxa"/>
        <w:right w:w="108" w:type="dxa"/>
      </w:tblCellMar>
    </w:tblPr>
  </w:style>
  <w:style w:type="paragraph" w:styleId="6">
    <w:name w:val="Balloon Text"/>
    <w:basedOn w:val="1"/>
    <w:link w:val="44"/>
    <w:semiHidden/>
    <w:unhideWhenUsed/>
    <w:qFormat/>
    <w:uiPriority w:val="99"/>
    <w:pPr>
      <w:spacing w:after="0" w:line="240" w:lineRule="auto"/>
    </w:pPr>
    <w:rPr>
      <w:rFonts w:ascii="Segoe UI" w:hAnsi="Segoe UI" w:cs="Segoe UI"/>
      <w:sz w:val="18"/>
      <w:szCs w:val="18"/>
    </w:rPr>
  </w:style>
  <w:style w:type="character" w:styleId="7">
    <w:name w:val="annotation reference"/>
    <w:basedOn w:val="4"/>
    <w:semiHidden/>
    <w:unhideWhenUsed/>
    <w:qFormat/>
    <w:uiPriority w:val="99"/>
    <w:rPr>
      <w:sz w:val="16"/>
      <w:szCs w:val="16"/>
    </w:rPr>
  </w:style>
  <w:style w:type="paragraph" w:styleId="8">
    <w:name w:val="annotation text"/>
    <w:basedOn w:val="1"/>
    <w:link w:val="47"/>
    <w:semiHidden/>
    <w:unhideWhenUsed/>
    <w:qFormat/>
    <w:uiPriority w:val="99"/>
    <w:pPr>
      <w:spacing w:line="240" w:lineRule="auto"/>
    </w:pPr>
    <w:rPr>
      <w:sz w:val="20"/>
      <w:szCs w:val="20"/>
    </w:rPr>
  </w:style>
  <w:style w:type="paragraph" w:styleId="9">
    <w:name w:val="annotation subject"/>
    <w:basedOn w:val="8"/>
    <w:next w:val="8"/>
    <w:link w:val="48"/>
    <w:semiHidden/>
    <w:unhideWhenUsed/>
    <w:qFormat/>
    <w:uiPriority w:val="99"/>
    <w:rPr>
      <w:b/>
      <w:bCs/>
    </w:rPr>
  </w:style>
  <w:style w:type="character" w:styleId="10">
    <w:name w:val="endnote reference"/>
    <w:basedOn w:val="4"/>
    <w:semiHidden/>
    <w:unhideWhenUsed/>
    <w:qFormat/>
    <w:uiPriority w:val="99"/>
    <w:rPr>
      <w:vertAlign w:val="superscript"/>
    </w:rPr>
  </w:style>
  <w:style w:type="paragraph" w:styleId="11">
    <w:name w:val="endnote text"/>
    <w:basedOn w:val="1"/>
    <w:link w:val="50"/>
    <w:unhideWhenUsed/>
    <w:qFormat/>
    <w:uiPriority w:val="99"/>
    <w:pPr>
      <w:spacing w:after="0" w:line="240" w:lineRule="auto"/>
    </w:pPr>
    <w:rPr>
      <w:sz w:val="20"/>
      <w:szCs w:val="20"/>
    </w:rPr>
  </w:style>
  <w:style w:type="character" w:styleId="12">
    <w:name w:val="FollowedHyperlink"/>
    <w:basedOn w:val="4"/>
    <w:semiHidden/>
    <w:unhideWhenUsed/>
    <w:uiPriority w:val="99"/>
    <w:rPr>
      <w:color w:val="954F72" w:themeColor="followedHyperlink"/>
      <w:u w:val="single"/>
      <w14:textFill>
        <w14:solidFill>
          <w14:schemeClr w14:val="folHlink"/>
        </w14:solidFill>
      </w14:textFill>
    </w:rPr>
  </w:style>
  <w:style w:type="paragraph" w:styleId="13">
    <w:name w:val="footer"/>
    <w:basedOn w:val="1"/>
    <w:link w:val="45"/>
    <w:unhideWhenUsed/>
    <w:qFormat/>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qFormat/>
    <w:uiPriority w:val="99"/>
    <w:pPr>
      <w:spacing w:line="240" w:lineRule="exact"/>
      <w:jc w:val="both"/>
    </w:pPr>
    <w:rPr>
      <w:vertAlign w:val="superscript"/>
    </w:rPr>
  </w:style>
  <w:style w:type="paragraph" w:styleId="16">
    <w:name w:val="footnote text"/>
    <w:basedOn w:val="1"/>
    <w:link w:val="42"/>
    <w:semiHidden/>
    <w:unhideWhenUsed/>
    <w:qFormat/>
    <w:uiPriority w:val="99"/>
    <w:pPr>
      <w:spacing w:after="0" w:line="240" w:lineRule="auto"/>
    </w:pPr>
    <w:rPr>
      <w:rFonts w:eastAsiaTheme="minorEastAsia"/>
      <w:sz w:val="20"/>
      <w:szCs w:val="20"/>
      <w:lang w:val="en-GB" w:eastAsia="zh-CN"/>
    </w:rPr>
  </w:style>
  <w:style w:type="paragraph" w:styleId="17">
    <w:name w:val="header"/>
    <w:basedOn w:val="1"/>
    <w:link w:val="34"/>
    <w:unhideWhenUsed/>
    <w:qFormat/>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qFormat/>
    <w:uiPriority w:val="99"/>
    <w:rPr>
      <w:color w:val="0563C1" w:themeColor="hyperlink"/>
      <w:u w:val="single"/>
      <w14:textFill>
        <w14:solidFill>
          <w14:schemeClr w14:val="hlink"/>
        </w14:solidFill>
      </w14:textFill>
    </w:rPr>
  </w:style>
  <w:style w:type="paragraph" w:styleId="19">
    <w:name w:val="Normal (Web)"/>
    <w:semiHidden/>
    <w:unhideWhenUsed/>
    <w:qFormat/>
    <w:uiPriority w:val="99"/>
    <w:pPr>
      <w:spacing w:before="0" w:beforeAutospacing="1" w:after="0" w:afterAutospacing="1"/>
      <w:ind w:left="0" w:right="0"/>
      <w:jc w:val="left"/>
    </w:pPr>
    <w:rPr>
      <w:rFonts w:ascii="Times New Roman" w:hAnsi="Times New Roman" w:eastAsia="SimSun" w:cs="Times New Roman"/>
      <w:kern w:val="0"/>
      <w:sz w:val="24"/>
      <w:szCs w:val="24"/>
      <w:lang w:val="en-US" w:eastAsia="zh-CN" w:bidi="ar"/>
    </w:rPr>
  </w:style>
  <w:style w:type="paragraph" w:styleId="20">
    <w:name w:val="Subtitle"/>
    <w:basedOn w:val="1"/>
    <w:next w:val="1"/>
    <w:link w:val="2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1">
    <w:name w:val="Table Grid"/>
    <w:basedOn w:val="5"/>
    <w:qFormat/>
    <w:uiPriority w:val="59"/>
    <w:pPr>
      <w:spacing w:after="0" w:line="240" w:lineRule="auto"/>
    </w:pPr>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2">
    <w:name w:val="Title"/>
    <w:basedOn w:val="1"/>
    <w:next w:val="1"/>
    <w:link w:val="28"/>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3">
    <w:name w:val="toc 1"/>
    <w:basedOn w:val="1"/>
    <w:next w:val="1"/>
    <w:unhideWhenUsed/>
    <w:qFormat/>
    <w:uiPriority w:val="39"/>
    <w:pPr>
      <w:spacing w:after="100"/>
    </w:pPr>
  </w:style>
  <w:style w:type="paragraph" w:styleId="24">
    <w:name w:val="toc 2"/>
    <w:basedOn w:val="1"/>
    <w:next w:val="1"/>
    <w:unhideWhenUsed/>
    <w:qFormat/>
    <w:uiPriority w:val="39"/>
    <w:pPr>
      <w:spacing w:after="100"/>
      <w:ind w:left="220"/>
    </w:pPr>
  </w:style>
  <w:style w:type="paragraph" w:styleId="25">
    <w:name w:val="toc 3"/>
    <w:basedOn w:val="1"/>
    <w:next w:val="1"/>
    <w:unhideWhenUsed/>
    <w:qFormat/>
    <w:uiPriority w:val="39"/>
    <w:pPr>
      <w:spacing w:after="100"/>
      <w:ind w:left="440"/>
    </w:pPr>
  </w:style>
  <w:style w:type="character" w:customStyle="1" w:styleId="26">
    <w:name w:val="Heading 1 Char"/>
    <w:basedOn w:val="4"/>
    <w:link w:val="2"/>
    <w:qFormat/>
    <w:uiPriority w:val="9"/>
    <w:rPr>
      <w:rFonts w:asciiTheme="majorHAnsi" w:hAnsiTheme="majorHAnsi" w:eastAsiaTheme="majorEastAsia" w:cstheme="majorBidi"/>
      <w:color w:val="2E75B6" w:themeColor="accent1" w:themeShade="BF"/>
      <w:sz w:val="32"/>
      <w:szCs w:val="32"/>
    </w:rPr>
  </w:style>
  <w:style w:type="paragraph" w:customStyle="1" w:styleId="27">
    <w:name w:val="TOC Heading"/>
    <w:basedOn w:val="2"/>
    <w:next w:val="1"/>
    <w:unhideWhenUsed/>
    <w:qFormat/>
    <w:uiPriority w:val="39"/>
    <w:pPr>
      <w:outlineLvl w:val="9"/>
    </w:pPr>
  </w:style>
  <w:style w:type="character" w:customStyle="1" w:styleId="28">
    <w:name w:val="Title Char"/>
    <w:basedOn w:val="4"/>
    <w:link w:val="22"/>
    <w:qFormat/>
    <w:uiPriority w:val="10"/>
    <w:rPr>
      <w:rFonts w:asciiTheme="majorHAnsi" w:hAnsiTheme="majorHAnsi" w:eastAsiaTheme="majorEastAsia" w:cstheme="majorBidi"/>
      <w:spacing w:val="-10"/>
      <w:kern w:val="28"/>
      <w:sz w:val="56"/>
      <w:szCs w:val="56"/>
    </w:rPr>
  </w:style>
  <w:style w:type="character" w:customStyle="1" w:styleId="29">
    <w:name w:val="Subtitle Char"/>
    <w:basedOn w:val="4"/>
    <w:link w:val="20"/>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30">
    <w:name w:val="M.G+T.Header"/>
    <w:basedOn w:val="1"/>
    <w:link w:val="31"/>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1">
    <w:name w:val="M.G+T.Header Char"/>
    <w:basedOn w:val="4"/>
    <w:link w:val="30"/>
    <w:qFormat/>
    <w:uiPriority w:val="0"/>
    <w:rPr>
      <w:rFonts w:eastAsia="Times New Roman" w:cs="Times New Roman"/>
      <w:color w:val="333333"/>
      <w:sz w:val="21"/>
      <w:szCs w:val="21"/>
      <w:shd w:val="clear" w:color="auto" w:fill="F5F5F5"/>
      <w:lang w:val="en-GB" w:eastAsia="en-GB"/>
    </w:rPr>
  </w:style>
  <w:style w:type="paragraph" w:customStyle="1" w:styleId="32">
    <w:name w:val="M.Ind.Header"/>
    <w:basedOn w:val="1"/>
    <w:link w:val="33"/>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3">
    <w:name w:val="M.Ind.Header Char"/>
    <w:basedOn w:val="4"/>
    <w:link w:val="32"/>
    <w:qFormat/>
    <w:uiPriority w:val="0"/>
    <w:rPr>
      <w:rFonts w:eastAsia="Times New Roman" w:cs="Times New Roman"/>
      <w:color w:val="1C75BC"/>
      <w:shd w:val="clear" w:color="auto" w:fill="F5F5F5"/>
      <w:lang w:val="en-GB" w:eastAsia="en-GB"/>
    </w:rPr>
  </w:style>
  <w:style w:type="character" w:customStyle="1" w:styleId="34">
    <w:name w:val="Header Char"/>
    <w:basedOn w:val="4"/>
    <w:link w:val="17"/>
    <w:qFormat/>
    <w:uiPriority w:val="99"/>
    <w:rPr>
      <w:rFonts w:eastAsiaTheme="minorEastAsia"/>
      <w:lang w:val="en-GB" w:eastAsia="zh-CN"/>
    </w:rPr>
  </w:style>
  <w:style w:type="paragraph" w:customStyle="1" w:styleId="35">
    <w:name w:val="M.Text"/>
    <w:basedOn w:val="1"/>
    <w:link w:val="36"/>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6">
    <w:name w:val="M.Text Char"/>
    <w:basedOn w:val="4"/>
    <w:link w:val="35"/>
    <w:qFormat/>
    <w:uiPriority w:val="0"/>
    <w:rPr>
      <w:rFonts w:eastAsia="Times New Roman" w:cs="Times New Roman"/>
      <w:color w:val="4A4A4A"/>
      <w:sz w:val="21"/>
      <w:szCs w:val="21"/>
      <w:shd w:val="clear" w:color="auto" w:fill="FFFFFF"/>
      <w:lang w:val="en-GB" w:eastAsia="en-GB"/>
    </w:rPr>
  </w:style>
  <w:style w:type="table" w:customStyle="1" w:styleId="37">
    <w:name w:val="Grid Table 1 Light1"/>
    <w:basedOn w:val="5"/>
    <w:qFormat/>
    <w:uiPriority w:val="46"/>
    <w:pPr>
      <w:spacing w:after="0" w:line="240" w:lineRule="auto"/>
    </w:pPr>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8">
    <w:name w:val="M.Header"/>
    <w:basedOn w:val="1"/>
    <w:link w:val="39"/>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9">
    <w:name w:val="M.Header Char"/>
    <w:basedOn w:val="4"/>
    <w:link w:val="38"/>
    <w:qFormat/>
    <w:uiPriority w:val="0"/>
    <w:rPr>
      <w:rFonts w:eastAsia="Times New Roman" w:cs="Times New Roman"/>
      <w:color w:val="1C75BC"/>
      <w:sz w:val="36"/>
      <w:szCs w:val="36"/>
      <w:shd w:val="clear" w:color="auto" w:fill="FFFFFF"/>
      <w:lang w:val="en-GB" w:eastAsia="en-GB"/>
    </w:rPr>
  </w:style>
  <w:style w:type="paragraph" w:customStyle="1" w:styleId="40">
    <w:name w:val="M.Sub.Header"/>
    <w:basedOn w:val="1"/>
    <w:link w:val="41"/>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1">
    <w:name w:val="M.Sub.Header Char"/>
    <w:basedOn w:val="4"/>
    <w:link w:val="40"/>
    <w:qFormat/>
    <w:uiPriority w:val="0"/>
    <w:rPr>
      <w:rFonts w:eastAsia="Times New Roman" w:cs="Times New Roman"/>
      <w:b/>
      <w:bCs/>
      <w:color w:val="4A4A4A"/>
      <w:sz w:val="21"/>
      <w:szCs w:val="21"/>
      <w:shd w:val="clear" w:color="auto" w:fill="FFFFFF"/>
      <w:lang w:val="en-GB" w:eastAsia="en-GB"/>
    </w:rPr>
  </w:style>
  <w:style w:type="character" w:customStyle="1" w:styleId="42">
    <w:name w:val="Footnote Text Char"/>
    <w:basedOn w:val="4"/>
    <w:link w:val="16"/>
    <w:semiHidden/>
    <w:qFormat/>
    <w:uiPriority w:val="99"/>
    <w:rPr>
      <w:rFonts w:eastAsiaTheme="minorEastAsia"/>
      <w:sz w:val="20"/>
      <w:szCs w:val="20"/>
      <w:lang w:val="en-GB" w:eastAsia="zh-CN"/>
    </w:rPr>
  </w:style>
  <w:style w:type="paragraph" w:styleId="43">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4">
    <w:name w:val="Balloon Text Char"/>
    <w:basedOn w:val="4"/>
    <w:link w:val="6"/>
    <w:semiHidden/>
    <w:qFormat/>
    <w:uiPriority w:val="99"/>
    <w:rPr>
      <w:rFonts w:ascii="Segoe UI" w:hAnsi="Segoe UI" w:cs="Segoe UI"/>
      <w:sz w:val="18"/>
      <w:szCs w:val="18"/>
    </w:rPr>
  </w:style>
  <w:style w:type="character" w:customStyle="1" w:styleId="45">
    <w:name w:val="Footer Char"/>
    <w:basedOn w:val="4"/>
    <w:link w:val="13"/>
    <w:qFormat/>
    <w:uiPriority w:val="99"/>
  </w:style>
  <w:style w:type="character" w:customStyle="1" w:styleId="46">
    <w:name w:val="Unresolved Mention1"/>
    <w:basedOn w:val="4"/>
    <w:semiHidden/>
    <w:unhideWhenUsed/>
    <w:qFormat/>
    <w:uiPriority w:val="99"/>
    <w:rPr>
      <w:color w:val="605E5C"/>
      <w:shd w:val="clear" w:color="auto" w:fill="E1DFDD"/>
    </w:rPr>
  </w:style>
  <w:style w:type="character" w:customStyle="1" w:styleId="47">
    <w:name w:val="Comment Text Char"/>
    <w:basedOn w:val="4"/>
    <w:link w:val="8"/>
    <w:semiHidden/>
    <w:qFormat/>
    <w:uiPriority w:val="99"/>
    <w:rPr>
      <w:sz w:val="20"/>
      <w:szCs w:val="20"/>
    </w:rPr>
  </w:style>
  <w:style w:type="character" w:customStyle="1" w:styleId="48">
    <w:name w:val="Comment Subject Char"/>
    <w:basedOn w:val="47"/>
    <w:link w:val="9"/>
    <w:semiHidden/>
    <w:qFormat/>
    <w:uiPriority w:val="99"/>
    <w:rPr>
      <w:b/>
      <w:bCs/>
      <w:sz w:val="20"/>
      <w:szCs w:val="20"/>
    </w:rPr>
  </w:style>
  <w:style w:type="character" w:styleId="49">
    <w:name w:val="Placeholder Text"/>
    <w:basedOn w:val="4"/>
    <w:semiHidden/>
    <w:qFormat/>
    <w:uiPriority w:val="99"/>
    <w:rPr>
      <w:color w:val="808080"/>
    </w:rPr>
  </w:style>
  <w:style w:type="character" w:customStyle="1" w:styleId="50">
    <w:name w:val="Endnote Text Char"/>
    <w:basedOn w:val="4"/>
    <w:link w:val="11"/>
    <w:qFormat/>
    <w:uiPriority w:val="99"/>
    <w:rPr>
      <w:sz w:val="20"/>
      <w:szCs w:val="20"/>
    </w:rPr>
  </w:style>
  <w:style w:type="character" w:customStyle="1" w:styleId="51">
    <w:name w:val="Heading 2 Char"/>
    <w:basedOn w:val="4"/>
    <w:link w:val="3"/>
    <w:qFormat/>
    <w:uiPriority w:val="9"/>
    <w:rPr>
      <w:rFonts w:asciiTheme="majorHAnsi" w:hAnsiTheme="majorHAnsi" w:eastAsiaTheme="majorEastAsia" w:cstheme="majorBidi"/>
      <w:color w:val="2E75B6" w:themeColor="accent1" w:themeShade="BF"/>
      <w:sz w:val="26"/>
      <w:szCs w:val="26"/>
    </w:rPr>
  </w:style>
  <w:style w:type="paragraph" w:customStyle="1" w:styleId="52">
    <w:name w:val="Default"/>
    <w:qFormat/>
    <w:uiPriority w:val="0"/>
    <w:pPr>
      <w:autoSpaceDE w:val="0"/>
      <w:autoSpaceDN w:val="0"/>
      <w:adjustRightInd w:val="0"/>
      <w:spacing w:after="0" w:line="240" w:lineRule="auto"/>
    </w:pPr>
    <w:rPr>
      <w:rFonts w:ascii="Calibri" w:hAnsi="Calibri" w:cs="Calibri" w:eastAsiaTheme="minorEastAsia"/>
      <w:color w:val="000000"/>
      <w:sz w:val="24"/>
      <w:szCs w:val="24"/>
      <w:lang w:val="en-US" w:eastAsia="zh-CN" w:bidi="ar-SA"/>
    </w:rPr>
  </w:style>
  <w:style w:type="character" w:customStyle="1" w:styleId="53">
    <w:name w:val="Unresolved Mention"/>
    <w:basedOn w:val="4"/>
    <w:semiHidden/>
    <w:unhideWhenUsed/>
    <w:qFormat/>
    <w:uiPriority w:val="99"/>
    <w:rPr>
      <w:color w:val="605E5C"/>
      <w:shd w:val="clear" w:color="auto" w:fill="E1DFDD"/>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2" Type="http://schemas.openxmlformats.org/officeDocument/2006/relationships/glossaryDocument" Target="glossary/document.xml"/><Relationship Id="rId21" Type="http://schemas.openxmlformats.org/officeDocument/2006/relationships/fontTable" Target="fontTable.xml"/><Relationship Id="rId20" Type="http://schemas.microsoft.com/office/2006/relationships/vbaProject" Target="vbaProject.bin"/><Relationship Id="rId2" Type="http://schemas.openxmlformats.org/officeDocument/2006/relationships/settings" Target="settings.xml"/><Relationship Id="rId19" Type="http://schemas.openxmlformats.org/officeDocument/2006/relationships/customXml" Target="../customXml/item4.xml"/><Relationship Id="rId18" Type="http://schemas.openxmlformats.org/officeDocument/2006/relationships/customXml" Target="../customXml/item3.xml"/><Relationship Id="rId17" Type="http://schemas.openxmlformats.org/officeDocument/2006/relationships/customXml" Target="../customXml/item2.xml"/><Relationship Id="rId16" Type="http://schemas.openxmlformats.org/officeDocument/2006/relationships/customXml" Target="../customXml/item1.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3.bin"/></Relationships>
</file>

<file path=word/activeX/_rels/activeX3.xml.rels><?xml version="1.0" encoding="UTF-8" standalone="yes"?>
<Relationships xmlns="http://schemas.openxmlformats.org/package/2006/relationships"><Relationship Id="rId1" Type="http://schemas.microsoft.com/office/2006/relationships/activeXControlBinary" Target="activeX4.bin"/></Relationships>
</file>

<file path=word/activeX/_rels/activeX4.xml.rels><?xml version="1.0" encoding="UTF-8" standalone="yes"?>
<Relationships xmlns="http://schemas.openxmlformats.org/package/2006/relationships"><Relationship Id="rId1" Type="http://schemas.microsoft.com/office/2006/relationships/activeXControlBinary" Target="activeX2.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Microsoft YaHei"/>
    <w:panose1 w:val="00000000000000000000"/>
    <w:charset w:val="86"/>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 w:name="等线">
    <w:altName w:val="Arial Unicode MS"/>
    <w:panose1 w:val="00000000000000000000"/>
    <w:charset w:val="86"/>
    <w:family w:val="auto"/>
    <w:pitch w:val="default"/>
    <w:sig w:usb0="00000000" w:usb1="00000000" w:usb2="00000000" w:usb3="00000000" w:csb0="00000000" w:csb1="0000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30DCF"/>
    <w:rsid w:val="0036646D"/>
    <w:rsid w:val="00395BCD"/>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qFormat="1" w:uiPriority="1" w:name="Default Paragraph Font"/>
    <w:lsdException w:qFormat="1"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qFormat/>
    <w:uiPriority w:val="1"/>
  </w:style>
  <w:style w:type="table" w:default="1" w:styleId="3">
    <w:name w:val="Normal Table"/>
    <w:semiHidden/>
    <w:unhideWhenUsed/>
    <w:qFormat/>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b:Sources xmlns:b="http://schemas.openxmlformats.org/officeDocument/2006/bibliography" xmlns="http://schemas.openxmlformats.org/officeDocument/2006/bibliography" SelectedStyle="\APASixthEditionOfficeOnline.xsl" StyleName="APA" Version="6"/>
</file>

<file path=customXml/item4.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1ED1DF50-B557-40DB-AB1D-53089885C6E0}">
  <ds:schemaRefs/>
</ds:datastoreItem>
</file>

<file path=customXml/itemProps2.xml><?xml version="1.0" encoding="utf-8"?>
<ds:datastoreItem xmlns:ds="http://schemas.openxmlformats.org/officeDocument/2006/customXml" ds:itemID="{57E59553-E217-482E-8EE7-C905E1600DAA}">
  <ds:schemaRefs/>
</ds:datastoreItem>
</file>

<file path=customXml/itemProps3.xml><?xml version="1.0" encoding="utf-8"?>
<ds:datastoreItem xmlns:ds="http://schemas.openxmlformats.org/officeDocument/2006/customXml" ds:itemID="{EB1C2039-A1E2-420D-9A37-E0F60F4991A9}">
  <ds:schemaRefs/>
</ds:datastoreItem>
</file>

<file path=customXml/itemProps4.xml><?xml version="1.0" encoding="utf-8"?>
<ds:datastoreItem xmlns:ds="http://schemas.openxmlformats.org/officeDocument/2006/customXml" ds:itemID="{4712825F-F8FB-47DE-B6A1-8CCC6E07E218}">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Pages>
  <Words>215578</Words>
  <Characters>1228799</Characters>
  <Lines>10239</Lines>
  <Paragraphs>2882</Paragraphs>
  <TotalTime>2</TotalTime>
  <ScaleCrop>false</ScaleCrop>
  <LinksUpToDate>false</LinksUpToDate>
  <CharactersWithSpaces>1441495</CharactersWithSpaces>
  <Application>WPS Office_11.2.0.11380_F1E327BC-269C-435d-A152-05C5408002CA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2021-11-10T10:24:00Z</dcterms:created>
  <dc:creator>Fanning, Stephen B (JMD)</dc:creator>
  <cp:lastModifiedBy>Doreen</cp:lastModifiedBy>
  <cp:lastPrinted>2020-04-16T14:23:00Z</cp:lastPrinted>
  <dcterms:modified xsi:type="dcterms:W3CDTF">2022-11-12T11:13:33Z</dcterms:modified>
  <cp:revision>5</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1033-11.2.0.11380</vt:lpwstr>
  </property>
  <property fmtid="{D5CDD505-2E9C-101B-9397-08002B2CF9AE}" pid="4" name="ICV">
    <vt:lpwstr>AABD8D7B353449A4A2090DCBE5A777FD</vt:lpwstr>
  </property>
</Properties>
</file>