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14.5.1 Coverage of protected areas in relation to marine areas (Exclusive Economic Zones) [14.5.1] (ER_MRN_MARIN)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655608"/>
            <w:bookmarkStart w:id="3" w:name="_Toc36812571"/>
            <w:bookmarkStart w:id="4" w:name="_Toc37932743"/>
            <w:bookmarkStart w:id="5" w:name="_Toc36813071"/>
            <w:bookmarkStart w:id="6" w:name="_Toc36812684"/>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jc w:val="both"/>
            </w:pPr>
            <w:r>
              <w:rPr>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Target 14.5: By 2020, conserve at least 10 per cent of coastal and marine areas, consistent with national and international law and based on the best available scientific information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Indicator 14.5.1: Coverage of protected areas in relation to marine areas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 xml:space="preserve">15.1.2 </w:t>
            </w:r>
          </w:p>
          <w:p>
            <w:pPr>
              <w:pStyle w:val="29"/>
            </w:pPr>
            <w:r>
              <w:rPr>
                <w:sz w:val="22"/>
                <w:szCs w:val="22"/>
              </w:rPr>
              <w:t xml:space="preserve">15.4.1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 Environment World Conservation Monitoring Centre (UNEP-WCMC)</w:t>
            </w:r>
          </w:p>
          <w:p>
            <w:pPr>
              <w:pStyle w:val="29"/>
              <w:rPr>
                <w:sz w:val="22"/>
                <w:szCs w:val="22"/>
              </w:rPr>
            </w:pPr>
            <w:r>
              <w:rPr>
                <w:sz w:val="22"/>
                <w:szCs w:val="22"/>
              </w:rPr>
              <w:t>BirdLife International (BLI)</w:t>
            </w:r>
          </w:p>
          <w:p>
            <w:pPr>
              <w:pStyle w:val="29"/>
            </w:pPr>
            <w:r>
              <w:rPr>
                <w:sz w:val="22"/>
                <w:szCs w:val="22"/>
              </w:rPr>
              <w:t>International Union for Conservation of Nature (IUCN)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6812685"/>
            <w:bookmarkStart w:id="9" w:name="_Toc36813072"/>
            <w:bookmarkStart w:id="10" w:name="_Toc36812572"/>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686"/>
            <w:bookmarkStart w:id="14" w:name="_Toc37932745"/>
            <w:bookmarkStart w:id="15" w:name="_Toc36812573"/>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b/>
                <w:bCs/>
              </w:rPr>
              <w:t>Concepts:</w:t>
            </w:r>
            <w:r>
              <w:rPr>
                <w:rFonts w:cstheme="minorHAnsi"/>
              </w:rPr>
              <w:t xml:space="preserve"> </w:t>
            </w:r>
          </w:p>
          <w:p>
            <w:pPr>
              <w:jc w:val="both"/>
              <w:rPr>
                <w:rFonts w:cstheme="minorHAnsi"/>
              </w:rPr>
            </w:pPr>
            <w:r>
              <w:rPr>
                <w:rFonts w:cstheme="minorHAnsi"/>
              </w:rPr>
              <w:t>Protected areas, as defined by the IUCN (</w:t>
            </w:r>
            <w:r>
              <w:rPr>
                <w:rFonts w:cstheme="minorHAnsi"/>
              </w:rPr>
              <w:fldChar w:fldCharType="begin"/>
            </w:r>
            <w:r>
              <w:rPr>
                <w:rFonts w:cstheme="minorHAnsi"/>
              </w:rPr>
              <w:instrText xml:space="preserve"> HYPERLINK "https://portals.iucn.org/library/sites/library/files/documents/2008-106.pdf" </w:instrText>
            </w:r>
            <w:r>
              <w:rPr>
                <w:rFonts w:cstheme="minorHAnsi"/>
              </w:rPr>
              <w:fldChar w:fldCharType="separate"/>
            </w:r>
            <w:r>
              <w:rPr>
                <w:rStyle w:val="18"/>
                <w:rFonts w:cstheme="minorHAnsi"/>
              </w:rPr>
              <w:t>IUCN; Dudley 2008</w:t>
            </w:r>
            <w:r>
              <w:rPr>
                <w:rFonts w:cstheme="minorHAnsi"/>
              </w:rPr>
              <w:fldChar w:fldCharType="end"/>
            </w:r>
            <w:r>
              <w:rPr>
                <w:rFonts w:cstheme="minorHAnsi"/>
              </w:rPr>
              <w:t>), are clearly defined geographical spaces, recognized, dedicated and managed, through legal or other effective means, to</w:t>
            </w:r>
            <w:r>
              <w:rPr>
                <w:rFonts w:hint="default" w:cstheme="minorHAnsi"/>
                <w:lang w:val="en-CA"/>
              </w:rPr>
              <w:t xml:space="preserve"> </w:t>
            </w:r>
            <w:r>
              <w:rPr>
                <w:rFonts w:cstheme="minorHAnsi"/>
              </w:rPr>
              <w:t>achieve the long-term conservation of nature with associated</w:t>
            </w:r>
            <w:r>
              <w:rPr>
                <w:rFonts w:hint="default" w:cstheme="minorHAnsi"/>
                <w:lang w:val="en-CA"/>
              </w:rPr>
              <w:t xml:space="preserve"> </w:t>
            </w:r>
            <w:r>
              <w:rPr>
                <w:rFonts w:cstheme="minorHAnsi"/>
              </w:rPr>
              <w:t>ecosystem services and cultural values.</w:t>
            </w:r>
          </w:p>
          <w:p>
            <w:pPr>
              <w:jc w:val="both"/>
              <w:rPr>
                <w:rFonts w:hint="default" w:cstheme="minorHAnsi"/>
                <w:lang w:val="en-CA"/>
              </w:rPr>
            </w:pPr>
            <w:r>
              <w:rPr>
                <w:rFonts w:cstheme="minorHAnsi"/>
              </w:rPr>
              <w:t>The Ocean Health Index (OHI) is a framework to assess the health of the ocean using benefit usually referred to as goals provided by the ocean to humans, such as food provision,</w:t>
            </w:r>
            <w:r>
              <w:rPr>
                <w:rFonts w:hint="default" w:cstheme="minorHAnsi"/>
                <w:lang w:val="en-CA"/>
              </w:rPr>
              <w:t xml:space="preserve"> </w:t>
            </w:r>
            <w:r>
              <w:rPr>
                <w:rFonts w:cstheme="minorHAnsi"/>
              </w:rPr>
              <w:t>tourism opportunities and coastal protection</w:t>
            </w:r>
            <w:r>
              <w:rPr>
                <w:rFonts w:hint="default" w:cstheme="minorHAnsi"/>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Score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hint="default" w:ascii="Calibri" w:hAnsi="Calibri" w:eastAsia="Arial" w:cs="Calibri"/>
                <w:iCs/>
                <w:lang w:val="en-CA"/>
              </w:rPr>
              <w:t xml:space="preserve">The Global </w:t>
            </w:r>
            <w:r>
              <w:rPr>
                <w:rFonts w:ascii="Calibri" w:hAnsi="Calibri" w:eastAsia="Arial" w:cs="Calibri"/>
                <w:iCs/>
              </w:rPr>
              <w:t>Ocean Health Index (OHI),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Ocean Health Index (OHI)</w:t>
            </w:r>
            <w:bookmarkStart w:id="37" w:name="_GoBack"/>
            <w:bookmarkEnd w:id="37"/>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812575"/>
            <w:bookmarkStart w:id="21" w:name="_Toc36812688"/>
            <w:bookmarkStart w:id="22" w:name="_Toc36655612"/>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marine ecosystems and their services, in line with obligations under international agreements. In addition to protecting biodiversity, protected areas have high social and economic value: supporting local livelihoods; maintaining fisheries; harbouring an untold wealth of genetic resources; supporting thriving recreation and tourism industries; providing for science, research and education; and forming a basis for cultural and other non-material values. This indicator adds meaningful information to, complements and builds from traditionally reported simple statistics of marine area covered by protected areas</w:t>
            </w:r>
            <w:r>
              <w:rPr>
                <w:rFonts w:hint="default"/>
                <w:lang w:val="en-CA"/>
              </w:rPr>
              <w:t xml:space="preserve">. </w:t>
            </w:r>
            <w:r>
              <w:t xml:space="preserve">The indicator was used to track progress towards the </w:t>
            </w:r>
            <w:r>
              <w:fldChar w:fldCharType="begin"/>
            </w:r>
            <w:r>
              <w:instrText xml:space="preserve"> HYPERLINK "https://www.cbd.int/doc/strategic-plan/Post2020/postsbi/ibn.pdf" </w:instrText>
            </w:r>
            <w:r>
              <w:fldChar w:fldCharType="separate"/>
            </w:r>
            <w:r>
              <w:rPr>
                <w:rStyle w:val="18"/>
              </w:rPr>
              <w:t>2011–2020 Strategic Plan for Biodiversity (CBD 2014, Tittensor et al. 2014, CBD 2020a)</w:t>
            </w:r>
            <w:r>
              <w:fldChar w:fldCharType="end"/>
            </w:r>
            <w:r>
              <w:t xml:space="preserve">, and was used as an indicator towards the </w:t>
            </w:r>
            <w:r>
              <w:fldChar w:fldCharType="begin"/>
            </w:r>
            <w:r>
              <w:instrText xml:space="preserve"> HYPERLINK "https://www.cbd.int/2010-target" </w:instrText>
            </w:r>
            <w:r>
              <w:fldChar w:fldCharType="separate"/>
            </w:r>
            <w:r>
              <w:rPr>
                <w:rStyle w:val="18"/>
              </w:rPr>
              <w:t>Convention on Biological Diversity’s 2010 Target (Butchart et al. 2010)</w:t>
            </w:r>
            <w:r>
              <w:fldChar w:fldCharType="end"/>
            </w:r>
            <w:r>
              <w:t xml:space="preserve">. It has been proposed as an indicator for monitoring progress towards the </w:t>
            </w:r>
            <w:r>
              <w:fldChar w:fldCharType="begin"/>
            </w:r>
            <w:r>
              <w:instrText xml:space="preserve"> HYPERLINK "https://www.ncbi.nlm.nih.gov/pmc/articles/PMC8931452/" </w:instrText>
            </w:r>
            <w:r>
              <w:fldChar w:fldCharType="separate"/>
            </w:r>
            <w:r>
              <w:rPr>
                <w:rStyle w:val="18"/>
              </w:rPr>
              <w:t>post-2020 Global Biodiversity Framework (CBD 2020b)</w:t>
            </w:r>
            <w:r>
              <w:fldChar w:fldCharType="end"/>
            </w:r>
            <w: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6"/>
            <w:bookmarkStart w:id="25" w:name="_Toc36655613"/>
            <w:bookmarkStart w:id="26" w:name="_Toc37932748"/>
            <w:bookmarkStart w:id="27" w:name="_Toc36812689"/>
            <w:bookmarkStart w:id="28" w:name="_Toc368125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This data is disaggregated by OHI Goals/Subgoals.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"https://github.com/OHI-Science/ohi-global/blob/draft/yearly_results/README.md" \l "global-ohi-score-metadata" </w:instrText>
            </w:r>
            <w:r>
              <w:fldChar w:fldCharType="separate"/>
            </w:r>
            <w:r>
              <w:rPr>
                <w:rStyle w:val="18"/>
                <w:rFonts w:ascii="Sitka Subheading" w:hAnsi="Sitka Subheading"/>
                <w:sz w:val="20"/>
                <w:szCs w:val="20"/>
              </w:rPr>
              <w:t>https://github.com/OHI-Science/ohi-global/blob/draft/yearly_results/README.md#global-ohi-score-metadata</w:t>
            </w:r>
            <w:r>
              <w:rPr>
                <w:rStyle w:val="18"/>
                <w:rFonts w:ascii="Sitka Subheading" w:hAnsi="Sitka Subheading"/>
                <w:sz w:val="20"/>
                <w:szCs w:val="20"/>
              </w:rPr>
              <w:fldChar w:fldCharType="end"/>
            </w: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56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17D"/>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F41CD1"/>
    <w:rsid w:val="2791592C"/>
    <w:rsid w:val="47E814F4"/>
    <w:rsid w:val="4AAD7751"/>
    <w:rsid w:val="7D5D1EB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46CF"/>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216057</Words>
  <Characters>1231527</Characters>
  <Lines>10262</Lines>
  <Paragraphs>2889</Paragraphs>
  <TotalTime>2</TotalTime>
  <ScaleCrop>false</ScaleCrop>
  <LinksUpToDate>false</LinksUpToDate>
  <CharactersWithSpaces>1444695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2021-11-04T15:40:00Z</dcterms:created>
  <dc:creator>Fanning, Stephen B (JMD)</dc:creator>
  <cp:lastModifiedBy>Doreen</cp:lastModifiedBy>
  <cp:lastPrinted>2020-04-16T14:23:00Z</cp:lastPrinted>
  <dcterms:modified xsi:type="dcterms:W3CDTF">2022-11-14T12:17:48Z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AB1B5CC209384756814E1DE125214220</vt:lpwstr>
  </property>
</Properties>
</file>